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outlineLvl w:val="0"/>
        <w:rPr>
          <w:rFonts w:hint="default" w:eastAsia="宋体"/>
          <w:b/>
          <w:i/>
          <w:sz w:val="28"/>
          <w:lang w:val="en-US" w:eastAsia="zh-CN"/>
        </w:rPr>
      </w:pPr>
      <w:r>
        <w:rPr>
          <w:rFonts w:cs="Arial"/>
          <w:b/>
          <w:bCs/>
          <w:sz w:val="24"/>
          <w:szCs w:val="24"/>
        </w:rPr>
        <w:t>3GPP TSG-RAN WG3 Meeting #1</w:t>
      </w:r>
      <w:r>
        <w:rPr>
          <w:rFonts w:hint="eastAsia" w:cs="Arial"/>
          <w:b/>
          <w:bCs/>
          <w:sz w:val="24"/>
          <w:szCs w:val="24"/>
          <w:lang w:val="en-US" w:eastAsia="zh-CN"/>
        </w:rPr>
        <w:t>20</w:t>
      </w:r>
      <w:r>
        <w:rPr>
          <w:b/>
          <w:i/>
          <w:sz w:val="28"/>
        </w:rPr>
        <w:tab/>
      </w:r>
      <w:r>
        <w:rPr>
          <w:b/>
          <w:sz w:val="28"/>
        </w:rPr>
        <w:t>R3-23</w:t>
      </w:r>
      <w:r>
        <w:rPr>
          <w:rFonts w:hint="eastAsia" w:eastAsia="宋体"/>
          <w:b/>
          <w:sz w:val="28"/>
          <w:lang w:val="en-US" w:eastAsia="zh-CN"/>
        </w:rPr>
        <w:t>3231</w:t>
      </w:r>
      <w:bookmarkStart w:id="4" w:name="_GoBack"/>
      <w:bookmarkEnd w:id="4"/>
    </w:p>
    <w:p>
      <w:pPr>
        <w:widowControl w:val="0"/>
        <w:tabs>
          <w:tab w:val="right" w:pos="9639"/>
        </w:tabs>
        <w:spacing w:after="0"/>
        <w:outlineLvl w:val="0"/>
        <w:rPr>
          <w:b/>
          <w:sz w:val="24"/>
        </w:rPr>
      </w:pPr>
      <w:bookmarkStart w:id="0" w:name="_Hlk117489506"/>
      <w:r>
        <w:rPr>
          <w:rFonts w:ascii="Arial" w:hAnsi="Arial" w:eastAsia="MS Mincho"/>
          <w:b/>
          <w:bCs/>
          <w:sz w:val="24"/>
          <w:szCs w:val="24"/>
        </w:rPr>
        <w:t>Incheon, KR, 22</w:t>
      </w:r>
      <w:r>
        <w:rPr>
          <w:rFonts w:ascii="Arial" w:hAnsi="Arial" w:eastAsia="MS Mincho"/>
          <w:b/>
          <w:bCs/>
          <w:sz w:val="24"/>
          <w:szCs w:val="24"/>
          <w:vertAlign w:val="superscript"/>
        </w:rPr>
        <w:t>nd</w:t>
      </w:r>
      <w:r>
        <w:rPr>
          <w:rFonts w:ascii="Arial" w:hAnsi="Arial" w:eastAsia="MS Mincho"/>
          <w:b/>
          <w:bCs/>
          <w:sz w:val="24"/>
          <w:szCs w:val="24"/>
        </w:rPr>
        <w:t xml:space="preserve"> – 26</w:t>
      </w:r>
      <w:r>
        <w:rPr>
          <w:rFonts w:ascii="Arial" w:hAnsi="Arial" w:eastAsia="MS Mincho"/>
          <w:b/>
          <w:bCs/>
          <w:sz w:val="24"/>
          <w:szCs w:val="24"/>
          <w:vertAlign w:val="superscript"/>
        </w:rPr>
        <w:t>th</w:t>
      </w:r>
      <w:r>
        <w:rPr>
          <w:rFonts w:ascii="Arial" w:hAnsi="Arial" w:eastAsia="MS Mincho"/>
          <w:b/>
          <w:bCs/>
          <w:sz w:val="24"/>
          <w:szCs w:val="24"/>
        </w:rPr>
        <w:t xml:space="preserve"> May, 2023</w:t>
      </w:r>
      <w:bookmarkEnd w:id="0"/>
      <w:r>
        <w:rPr>
          <w:i/>
          <w:lang w:eastAsia="ko-KR"/>
        </w:rPr>
        <w:tab/>
      </w:r>
      <w:r>
        <w:rPr>
          <w:i/>
          <w:lang w:eastAsia="ko-KR"/>
        </w:rPr>
        <w:tab/>
      </w:r>
      <w:r>
        <w:rPr>
          <w:i/>
          <w:iCs/>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p>
    <w:p>
      <w:pPr>
        <w:pStyle w:val="3"/>
        <w:rPr>
          <w:bCs/>
          <w:sz w:val="24"/>
          <w:lang w:eastAsia="ja-JP"/>
        </w:rPr>
      </w:pPr>
    </w:p>
    <w:p>
      <w:pPr>
        <w:pStyle w:val="91"/>
        <w:outlineLvl w:val="0"/>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Pr>
          <w:rFonts w:eastAsia="宋体" w:cs="Arial"/>
          <w:b/>
          <w:bCs/>
          <w:sz w:val="24"/>
          <w:lang w:val="en-US"/>
        </w:rPr>
        <w:t>23.2</w:t>
      </w:r>
    </w:p>
    <w:p>
      <w:pPr>
        <w:tabs>
          <w:tab w:val="left" w:pos="1985"/>
        </w:tabs>
        <w:ind w:left="1985" w:hanging="1985"/>
        <w:outlineLvl w:val="0"/>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ZTE</w:t>
      </w:r>
    </w:p>
    <w:p>
      <w:pPr>
        <w:tabs>
          <w:tab w:val="left" w:pos="1985"/>
        </w:tabs>
        <w:ind w:left="1971" w:hanging="1971" w:hangingChars="818"/>
        <w:outlineLvl w:val="0"/>
        <w:rPr>
          <w:rFonts w:ascii="Arial" w:hAnsi="Arial" w:cs="Arial"/>
          <w:b/>
          <w:bCs/>
          <w:sz w:val="24"/>
        </w:rPr>
      </w:pPr>
      <w:r>
        <w:rPr>
          <w:rFonts w:ascii="Arial" w:hAnsi="Arial" w:cs="Arial"/>
          <w:b/>
          <w:bCs/>
          <w:sz w:val="24"/>
        </w:rPr>
        <w:t>Title:</w:t>
      </w:r>
      <w:r>
        <w:rPr>
          <w:rFonts w:ascii="Arial" w:hAnsi="Arial" w:cs="Arial"/>
          <w:b/>
          <w:bCs/>
          <w:sz w:val="24"/>
        </w:rPr>
        <w:tab/>
      </w:r>
      <w:r>
        <w:rPr>
          <w:rFonts w:ascii="Arial" w:hAnsi="Arial" w:cs="Arial"/>
          <w:b/>
          <w:bCs/>
          <w:sz w:val="24"/>
        </w:rPr>
        <w:t xml:space="preserve">Discussion on </w:t>
      </w:r>
      <w:r>
        <w:rPr>
          <w:rFonts w:hint="eastAsia" w:ascii="Arial" w:hAnsi="Arial" w:cs="Arial"/>
          <w:b/>
          <w:bCs/>
          <w:sz w:val="24"/>
        </w:rPr>
        <w:t>LPHAP impacts</w:t>
      </w:r>
    </w:p>
    <w:p>
      <w:pPr>
        <w:outlineLvl w:val="0"/>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Discussion and Approval</w:t>
      </w:r>
    </w:p>
    <w:p>
      <w:pPr>
        <w:pStyle w:val="2"/>
        <w:rPr>
          <w:lang w:val="en-US"/>
        </w:rPr>
      </w:pPr>
      <w:r>
        <w:rPr>
          <w:lang w:val="en-US"/>
        </w:rPr>
        <w:t>Introduction</w:t>
      </w:r>
    </w:p>
    <w:p>
      <w:pPr>
        <w:snapToGrid w:val="0"/>
        <w:spacing w:before="120" w:beforeLines="50" w:after="120" w:afterLines="50"/>
        <w:rPr>
          <w:rFonts w:ascii="Times New Roman" w:hAnsi="Times New Roman" w:eastAsia="宋体" w:cs="Times New Roman"/>
          <w:sz w:val="20"/>
          <w:szCs w:val="20"/>
          <w:lang w:bidi="ar"/>
        </w:rPr>
      </w:pPr>
      <w:r>
        <w:rPr>
          <w:rFonts w:ascii="Times New Roman" w:hAnsi="Times New Roman" w:eastAsia="宋体" w:cs="Times New Roman"/>
          <w:sz w:val="20"/>
          <w:szCs w:val="20"/>
          <w:lang w:bidi="ar"/>
        </w:rPr>
        <w:t>The WID[1] of Rel-18 positioning for LPHAP is specified as below:</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Borders>
              <w:top w:val="single" w:color="auto" w:sz="4" w:space="0"/>
              <w:left w:val="single" w:color="auto" w:sz="4" w:space="0"/>
              <w:bottom w:val="single" w:color="auto" w:sz="4" w:space="0"/>
              <w:right w:val="single" w:color="auto" w:sz="4" w:space="0"/>
            </w:tcBorders>
            <w:shd w:val="clear" w:color="auto" w:fill="auto"/>
          </w:tcPr>
          <w:p>
            <w:pPr>
              <w:numPr>
                <w:ilvl w:val="0"/>
                <w:numId w:val="10"/>
              </w:numPr>
              <w:tabs>
                <w:tab w:val="left" w:pos="720"/>
              </w:tabs>
              <w:snapToGrid w:val="0"/>
              <w:spacing w:before="120" w:beforeLines="50" w:after="120" w:afterLines="50"/>
              <w:rPr>
                <w:rFonts w:eastAsia="MS Mincho"/>
                <w:lang w:eastAsia="ko"/>
              </w:rPr>
            </w:pPr>
            <w:r>
              <w:rPr>
                <w:rFonts w:ascii="Times New Roman" w:hAnsi="Times New Roman" w:eastAsia="MS Mincho" w:cs="Times New Roman"/>
                <w:sz w:val="20"/>
                <w:szCs w:val="20"/>
                <w:lang w:eastAsia="ko"/>
              </w:rPr>
              <w:t>Specify enhancements for enabling LPHAP use-case 6 as defined in TS 22.104 including:</w:t>
            </w:r>
          </w:p>
          <w:p>
            <w:pPr>
              <w:numPr>
                <w:ilvl w:val="1"/>
                <w:numId w:val="10"/>
              </w:numPr>
              <w:tabs>
                <w:tab w:val="left" w:pos="1440"/>
              </w:tabs>
              <w:snapToGrid w:val="0"/>
              <w:spacing w:before="120" w:beforeLines="50" w:after="120" w:afterLines="50"/>
              <w:rPr>
                <w:rFonts w:eastAsia="MS Mincho"/>
                <w:lang w:eastAsia="ko"/>
              </w:rPr>
            </w:pPr>
            <w:r>
              <w:rPr>
                <w:rFonts w:ascii="Times New Roman" w:hAnsi="Times New Roman" w:eastAsia="宋体" w:cs="Times New Roman"/>
                <w:sz w:val="20"/>
                <w:szCs w:val="20"/>
                <w:lang w:eastAsia="ko"/>
              </w:rPr>
              <w:t>Extending eDRX cycle beyond 10.24s in RRC_INACTIVE state towards meeting the battery life requirement for LPHAP [RAN2, RAN3, RAN4]</w:t>
            </w:r>
          </w:p>
          <w:p>
            <w:pPr>
              <w:numPr>
                <w:ilvl w:val="2"/>
                <w:numId w:val="10"/>
              </w:numPr>
              <w:tabs>
                <w:tab w:val="left" w:pos="2160"/>
              </w:tabs>
              <w:snapToGrid w:val="0"/>
              <w:spacing w:before="120" w:beforeLines="50" w:after="120" w:afterLines="50"/>
              <w:rPr>
                <w:rFonts w:eastAsia="MS Mincho"/>
                <w:lang w:eastAsia="ko"/>
              </w:rPr>
            </w:pPr>
            <w:r>
              <w:rPr>
                <w:rFonts w:ascii="Times New Roman" w:hAnsi="Times New Roman" w:eastAsia="MS Mincho" w:cs="Times New Roman"/>
                <w:sz w:val="20"/>
                <w:szCs w:val="20"/>
                <w:lang w:eastAsia="ko"/>
              </w:rPr>
              <w:t>Positioning-specific enhancement for eDRX cycle beyond 10.24s to be defined as part of Rel-18 WI on expanded and improved NR positioning.</w:t>
            </w:r>
          </w:p>
          <w:p>
            <w:pPr>
              <w:numPr>
                <w:ilvl w:val="3"/>
                <w:numId w:val="10"/>
              </w:numPr>
              <w:tabs>
                <w:tab w:val="left" w:pos="2880"/>
              </w:tabs>
              <w:snapToGrid w:val="0"/>
              <w:spacing w:before="120" w:beforeLines="50" w:after="120" w:afterLines="50"/>
              <w:ind w:left="2882"/>
              <w:rPr>
                <w:rFonts w:eastAsia="MS Mincho"/>
                <w:lang w:eastAsia="ko"/>
              </w:rPr>
            </w:pPr>
            <w:r>
              <w:rPr>
                <w:rFonts w:ascii="Times New Roman" w:hAnsi="Times New Roman" w:eastAsia="MS Mincho" w:cs="Times New Roman"/>
                <w:sz w:val="20"/>
                <w:szCs w:val="20"/>
                <w:lang w:eastAsia="ko"/>
              </w:rPr>
              <w:t>NOTE: Work on this objective should be coordinated with that in Rel-18 WI on eRedCap. Towards this, the feature of extending eDRX cycle beyond 10.24s should be defined as part of Rel-18 WI on eRedCap.</w:t>
            </w:r>
          </w:p>
          <w:p>
            <w:pPr>
              <w:numPr>
                <w:ilvl w:val="2"/>
                <w:numId w:val="10"/>
              </w:numPr>
              <w:tabs>
                <w:tab w:val="left" w:pos="2160"/>
              </w:tabs>
              <w:snapToGrid w:val="0"/>
              <w:spacing w:before="120" w:beforeLines="50" w:after="120" w:afterLines="50"/>
              <w:rPr>
                <w:rFonts w:eastAsia="MS Mincho"/>
                <w:lang w:eastAsia="ko"/>
              </w:rPr>
            </w:pPr>
            <w:r>
              <w:rPr>
                <w:rFonts w:ascii="Times New Roman" w:hAnsi="Times New Roman" w:eastAsia="MS Mincho" w:cs="Times New Roman"/>
                <w:sz w:val="20"/>
                <w:szCs w:val="20"/>
                <w:lang w:eastAsia="ko"/>
              </w:rPr>
              <w:t>NOTE: Inputs from RAN1 as necessary may be facilitated via LSs</w:t>
            </w:r>
          </w:p>
          <w:p>
            <w:pPr>
              <w:numPr>
                <w:ilvl w:val="1"/>
                <w:numId w:val="10"/>
              </w:numPr>
              <w:tabs>
                <w:tab w:val="left" w:pos="1440"/>
              </w:tabs>
              <w:snapToGrid w:val="0"/>
              <w:spacing w:before="120" w:beforeLines="50" w:after="120" w:afterLines="50"/>
              <w:rPr>
                <w:rFonts w:eastAsia="MS Mincho"/>
                <w:lang w:eastAsia="ko"/>
              </w:rPr>
            </w:pPr>
            <w:r>
              <w:rPr>
                <w:rFonts w:ascii="Times New Roman" w:hAnsi="Times New Roman" w:eastAsia="宋体" w:cs="Times New Roman"/>
                <w:sz w:val="20"/>
                <w:szCs w:val="20"/>
                <w:lang w:eastAsia="ko"/>
              </w:rPr>
              <w:t>For UL and DL+UL positioning for UEs in RRC_INACTIVE state, specify SRS configuration enhancements based on SRS positioning validity area to avoid frequent RRC connection for SRS (re)configuration [RAN2, RAN1, RAN3].</w:t>
            </w:r>
          </w:p>
          <w:p>
            <w:pPr>
              <w:numPr>
                <w:ilvl w:val="2"/>
                <w:numId w:val="10"/>
              </w:numPr>
              <w:tabs>
                <w:tab w:val="left" w:pos="2160"/>
              </w:tabs>
              <w:snapToGrid w:val="0"/>
              <w:spacing w:before="120" w:beforeLines="50" w:after="120" w:afterLines="50"/>
              <w:rPr>
                <w:rFonts w:eastAsia="MS Mincho"/>
                <w:lang w:eastAsia="ko"/>
              </w:rPr>
            </w:pPr>
            <w:r>
              <w:rPr>
                <w:rFonts w:ascii="Times New Roman" w:hAnsi="Times New Roman" w:eastAsia="MS Mincho" w:cs="Times New Roman"/>
                <w:sz w:val="20"/>
                <w:szCs w:val="20"/>
                <w:lang w:eastAsia="ko"/>
              </w:rPr>
              <w:t>SRS for positioning configurations in multiple cells</w:t>
            </w:r>
            <w:r>
              <w:rPr>
                <w:rFonts w:ascii="Times New Roman" w:hAnsi="Times New Roman" w:eastAsia="等线" w:cs="Times New Roman"/>
                <w:sz w:val="20"/>
                <w:szCs w:val="20"/>
              </w:rPr>
              <w:t xml:space="preserve"> [RAN2, RAN1]</w:t>
            </w:r>
            <w:r>
              <w:rPr>
                <w:rFonts w:ascii="Times New Roman" w:hAnsi="Times New Roman" w:eastAsia="MS Mincho" w:cs="Times New Roman"/>
                <w:sz w:val="20"/>
                <w:szCs w:val="20"/>
                <w:lang w:eastAsia="ko"/>
              </w:rPr>
              <w:t xml:space="preserve">. </w:t>
            </w:r>
          </w:p>
          <w:p>
            <w:pPr>
              <w:numPr>
                <w:ilvl w:val="3"/>
                <w:numId w:val="10"/>
              </w:numPr>
              <w:tabs>
                <w:tab w:val="left" w:pos="2880"/>
              </w:tabs>
              <w:snapToGrid w:val="0"/>
              <w:spacing w:before="120" w:beforeLines="50" w:after="120" w:afterLines="50"/>
              <w:ind w:left="2882"/>
              <w:rPr>
                <w:rFonts w:eastAsia="MS Mincho"/>
                <w:lang w:eastAsia="ko"/>
              </w:rPr>
            </w:pPr>
            <w:r>
              <w:rPr>
                <w:rFonts w:ascii="Times New Roman" w:hAnsi="Times New Roman" w:eastAsia="MS Mincho" w:cs="Times New Roman"/>
                <w:sz w:val="20"/>
                <w:szCs w:val="20"/>
                <w:lang w:eastAsia="ko"/>
              </w:rPr>
              <w:t>Note: Details including issues such as interference, timing advance, spatial relation information, pathloss reference and common SRS parameters across multiple cells can be further discussed during normative work.</w:t>
            </w:r>
          </w:p>
          <w:p>
            <w:pPr>
              <w:numPr>
                <w:ilvl w:val="2"/>
                <w:numId w:val="10"/>
              </w:numPr>
              <w:tabs>
                <w:tab w:val="left" w:pos="2160"/>
              </w:tabs>
              <w:snapToGrid w:val="0"/>
              <w:spacing w:before="120" w:beforeLines="50" w:after="120" w:afterLines="50"/>
              <w:rPr>
                <w:rFonts w:eastAsia="MS Mincho"/>
                <w:lang w:eastAsia="ko"/>
              </w:rPr>
            </w:pPr>
            <w:r>
              <w:rPr>
                <w:rFonts w:ascii="Times New Roman" w:hAnsi="Times New Roman" w:eastAsia="MS Mincho" w:cs="Times New Roman"/>
                <w:sz w:val="20"/>
                <w:szCs w:val="20"/>
                <w:lang w:eastAsia="ko"/>
              </w:rPr>
              <w:t>Pre-configuration of one or multiple SRS for positioning configurations</w:t>
            </w:r>
            <w:r>
              <w:rPr>
                <w:rFonts w:ascii="Times New Roman" w:hAnsi="Times New Roman" w:eastAsia="等线" w:cs="Times New Roman"/>
                <w:sz w:val="20"/>
                <w:szCs w:val="20"/>
              </w:rPr>
              <w:t xml:space="preserve"> [RAN2, RAN3]</w:t>
            </w:r>
            <w:r>
              <w:rPr>
                <w:rFonts w:ascii="Times New Roman" w:hAnsi="Times New Roman" w:eastAsia="MS Mincho" w:cs="Times New Roman"/>
                <w:sz w:val="20"/>
                <w:szCs w:val="20"/>
                <w:lang w:eastAsia="ko"/>
              </w:rPr>
              <w:t>.</w:t>
            </w:r>
          </w:p>
          <w:p>
            <w:pPr>
              <w:numPr>
                <w:ilvl w:val="2"/>
                <w:numId w:val="10"/>
              </w:numPr>
              <w:tabs>
                <w:tab w:val="left" w:pos="2160"/>
              </w:tabs>
              <w:snapToGrid w:val="0"/>
              <w:spacing w:before="120" w:beforeLines="50" w:after="120" w:afterLines="50"/>
              <w:rPr>
                <w:rFonts w:eastAsia="MS Mincho"/>
                <w:lang w:eastAsia="ko"/>
              </w:rPr>
            </w:pPr>
            <w:bookmarkStart w:id="1" w:name="_Hlk122087734"/>
            <w:r>
              <w:rPr>
                <w:rFonts w:ascii="Times New Roman" w:hAnsi="Times New Roman" w:eastAsia="MS Mincho" w:cs="Times New Roman"/>
                <w:sz w:val="20"/>
                <w:szCs w:val="20"/>
                <w:lang w:eastAsia="ko"/>
              </w:rPr>
              <w:t xml:space="preserve">SRS for positioning activation/request procedure(s) </w:t>
            </w:r>
            <w:bookmarkEnd w:id="1"/>
            <w:r>
              <w:rPr>
                <w:rFonts w:ascii="Times New Roman" w:hAnsi="Times New Roman" w:eastAsia="MS Mincho" w:cs="Times New Roman"/>
                <w:sz w:val="20"/>
                <w:szCs w:val="20"/>
                <w:lang w:eastAsia="ko"/>
              </w:rPr>
              <w:t>[RAN2, RAN1].</w:t>
            </w:r>
          </w:p>
          <w:p>
            <w:pPr>
              <w:numPr>
                <w:ilvl w:val="1"/>
                <w:numId w:val="10"/>
              </w:numPr>
              <w:tabs>
                <w:tab w:val="left" w:pos="1440"/>
              </w:tabs>
              <w:snapToGrid w:val="0"/>
              <w:spacing w:before="120" w:beforeLines="50" w:after="120" w:afterLines="50"/>
              <w:rPr>
                <w:rFonts w:eastAsia="MS Mincho"/>
                <w:lang w:eastAsia="ko"/>
              </w:rPr>
            </w:pPr>
            <w:r>
              <w:rPr>
                <w:rFonts w:ascii="Times New Roman" w:hAnsi="Times New Roman" w:eastAsia="MS Mincho" w:cs="Times New Roman"/>
                <w:sz w:val="20"/>
                <w:szCs w:val="20"/>
                <w:lang w:eastAsia="ko"/>
              </w:rPr>
              <w:t>Specify solutions for DL PRS measurements for a UE in RRC_IDLE state and reporting of the measurements in RRC_CONNECTED state [RAN2].</w:t>
            </w:r>
          </w:p>
          <w:p>
            <w:pPr>
              <w:numPr>
                <w:ilvl w:val="1"/>
                <w:numId w:val="10"/>
              </w:numPr>
              <w:tabs>
                <w:tab w:val="left" w:pos="1440"/>
              </w:tabs>
              <w:snapToGrid w:val="0"/>
              <w:spacing w:before="120" w:beforeLines="50" w:after="120" w:afterLines="50"/>
              <w:rPr>
                <w:rFonts w:eastAsia="MS Mincho"/>
                <w:lang w:eastAsia="ko"/>
              </w:rPr>
            </w:pPr>
            <w:r>
              <w:rPr>
                <w:rFonts w:ascii="Times New Roman" w:hAnsi="Times New Roman" w:eastAsia="MS Mincho" w:cs="Times New Roman"/>
                <w:sz w:val="20"/>
                <w:szCs w:val="20"/>
                <w:lang w:eastAsia="ko"/>
              </w:rPr>
              <w:t>Specify solutions for alignment between eDRX and PRS configurations [RAN2].</w:t>
            </w:r>
          </w:p>
          <w:p>
            <w:pPr>
              <w:numPr>
                <w:ilvl w:val="1"/>
                <w:numId w:val="10"/>
              </w:numPr>
              <w:tabs>
                <w:tab w:val="left" w:pos="1440"/>
              </w:tabs>
              <w:snapToGrid w:val="0"/>
              <w:spacing w:before="120" w:beforeLines="50" w:after="120" w:afterLines="50"/>
            </w:pPr>
            <w:r>
              <w:rPr>
                <w:rFonts w:ascii="Times New Roman" w:hAnsi="Times New Roman" w:eastAsia="宋体" w:cs="Times New Roman"/>
                <w:sz w:val="20"/>
                <w:szCs w:val="20"/>
                <w:lang w:eastAsia="ko"/>
              </w:rPr>
              <w:t>Specify corresponding new core requirements, as well as identifying and specifying the impact on the existing RAN4 specification, including RRM measurements and procedures [RAN4].</w:t>
            </w:r>
          </w:p>
        </w:tc>
      </w:tr>
    </w:tbl>
    <w:p>
      <w:pPr>
        <w:snapToGrid w:val="0"/>
        <w:spacing w:before="120" w:beforeLines="50" w:after="120" w:afterLines="50"/>
        <w:rPr>
          <w:rFonts w:ascii="Times New Roman" w:hAnsi="Times New Roman" w:eastAsia="宋体" w:cs="Times New Roman"/>
          <w:sz w:val="20"/>
          <w:szCs w:val="20"/>
          <w:lang w:bidi="ar"/>
        </w:rPr>
      </w:pPr>
      <w:r>
        <w:rPr>
          <w:rFonts w:ascii="Times New Roman" w:hAnsi="Times New Roman" w:eastAsia="宋体" w:cs="Times New Roman"/>
          <w:sz w:val="20"/>
          <w:szCs w:val="20"/>
          <w:lang w:bidi="ar"/>
        </w:rPr>
        <w:t>Based on the WID, this contribution discusses various items that could potentially have an impact on RAN3, such as SRS in RRC_INACTIVE, PRS and DRX alignment, and extending eDRX cycle. Additionally, there is a LS from RAN2 regarding the SRS configuration request that requires confirmation from RAN3.</w:t>
      </w:r>
    </w:p>
    <w:p>
      <w:pPr>
        <w:pStyle w:val="2"/>
        <w:rPr>
          <w:rFonts w:eastAsia="宋体"/>
          <w:lang w:val="en-US" w:eastAsia="zh-CN"/>
        </w:rPr>
      </w:pPr>
      <w:r>
        <w:rPr>
          <w:rFonts w:eastAsia="宋体"/>
          <w:lang w:val="en-US" w:eastAsia="zh-CN"/>
        </w:rPr>
        <w:t>Discussion</w:t>
      </w:r>
    </w:p>
    <w:p>
      <w:pPr>
        <w:pStyle w:val="4"/>
        <w:rPr>
          <w:lang w:eastAsia="zh-CN"/>
        </w:rPr>
      </w:pPr>
      <w:r>
        <w:rPr>
          <w:rFonts w:hint="eastAsia"/>
          <w:lang w:val="en-US" w:eastAsia="zh-CN"/>
        </w:rPr>
        <w:t>Extending eDRX cycle</w:t>
      </w:r>
    </w:p>
    <w:p>
      <w:pPr>
        <w:snapToGrid w:val="0"/>
        <w:spacing w:before="120" w:beforeLines="50" w:after="120" w:afterLines="50"/>
        <w:rPr>
          <w:rFonts w:ascii="Times New Roman" w:hAnsi="Times New Roman" w:eastAsia="宋体" w:cs="Times New Roman"/>
          <w:sz w:val="20"/>
          <w:szCs w:val="20"/>
          <w:lang w:bidi="ar"/>
        </w:rPr>
      </w:pPr>
      <w:r>
        <w:rPr>
          <w:rFonts w:hint="eastAsia" w:ascii="Times New Roman" w:hAnsi="Times New Roman" w:eastAsia="宋体" w:cs="Times New Roman"/>
          <w:sz w:val="20"/>
          <w:szCs w:val="20"/>
          <w:lang w:bidi="ar"/>
        </w:rPr>
        <w:t xml:space="preserve">In the positioning WI for Release 18, one of the objectives is to enhance the positioning capabilities of devices with an extended eDRX cycle beyond 10.24s. This is being done to meet the battery life requirements for Low Power High Accuracy Positioning (LPHAP). Additionally, it can be observed that Release 18 Redcap is also focusing on extending eDRX in RRC_INACTIVE for periods greater than 10.24s. </w:t>
      </w:r>
    </w:p>
    <w:p>
      <w:pPr>
        <w:pStyle w:val="108"/>
        <w:numPr>
          <w:ilvl w:val="0"/>
          <w:numId w:val="11"/>
        </w:numPr>
        <w:rPr>
          <w:rFonts w:ascii="Times New Roman" w:hAnsi="Times New Roman" w:cs="Times New Roman"/>
          <w:b/>
          <w:sz w:val="20"/>
          <w:szCs w:val="20"/>
        </w:rPr>
      </w:pPr>
      <w:r>
        <w:rPr>
          <w:rFonts w:hint="eastAsia" w:ascii="Times New Roman" w:hAnsi="Times New Roman" w:cs="Times New Roman"/>
          <w:b/>
          <w:sz w:val="20"/>
          <w:szCs w:val="20"/>
        </w:rPr>
        <w:t xml:space="preserve">Wait for the conclusion of the Redcap WI before beginning discussions on the impact of extending eDRX cycle for LPHAP. </w:t>
      </w:r>
    </w:p>
    <w:p>
      <w:pPr>
        <w:pStyle w:val="4"/>
        <w:rPr>
          <w:lang w:eastAsia="zh-CN"/>
        </w:rPr>
      </w:pPr>
      <w:r>
        <w:rPr>
          <w:rFonts w:hint="eastAsia"/>
          <w:lang w:val="en-US" w:eastAsia="zh-CN"/>
        </w:rPr>
        <w:t>SRS configuration for RRC_INACTIVE</w:t>
      </w:r>
    </w:p>
    <w:p>
      <w:pPr>
        <w:pStyle w:val="5"/>
        <w:rPr>
          <w:lang w:eastAsia="zh-CN"/>
        </w:rPr>
      </w:pPr>
      <w:r>
        <w:rPr>
          <w:rFonts w:hint="eastAsia"/>
          <w:lang w:val="en-US" w:eastAsia="zh-CN"/>
        </w:rPr>
        <w:t>SRS configuration enhancement</w:t>
      </w:r>
    </w:p>
    <w:p>
      <w:pPr>
        <w:snapToGrid w:val="0"/>
        <w:spacing w:before="120" w:beforeLines="50" w:after="120" w:afterLines="50"/>
      </w:pPr>
      <w:r>
        <w:rPr>
          <w:rFonts w:ascii="Times New Roman" w:hAnsi="Times New Roman" w:eastAsia="宋体" w:cs="Times New Roman"/>
          <w:sz w:val="20"/>
          <w:szCs w:val="20"/>
          <w:lang w:bidi="ar"/>
        </w:rPr>
        <w:t>In the Rel-18 WID, several solutions towards the SRS mobility are specified as below:</w:t>
      </w:r>
    </w:p>
    <w:p>
      <w:pPr>
        <w:numPr>
          <w:ilvl w:val="0"/>
          <w:numId w:val="12"/>
        </w:numPr>
        <w:rPr>
          <w:rFonts w:ascii="Times New Roman" w:hAnsi="Times New Roman" w:cs="Times New Roman"/>
          <w:i/>
          <w:iCs/>
        </w:rPr>
      </w:pPr>
      <w:r>
        <w:rPr>
          <w:rFonts w:ascii="Times New Roman" w:hAnsi="Times New Roman" w:cs="Times New Roman"/>
          <w:i/>
          <w:iCs/>
        </w:rPr>
        <w:t>For UL and DL+UL positioning for UEs in RRC_INACTIVE state, specify SRS configuration enhancements based on SRS positioning validity area to avoid frequent RRC connection for SRS (re)configuration [RAN2, RAN1, RAN3].</w:t>
      </w:r>
    </w:p>
    <w:p>
      <w:pPr>
        <w:numPr>
          <w:ilvl w:val="0"/>
          <w:numId w:val="13"/>
        </w:numPr>
        <w:ind w:left="840"/>
        <w:rPr>
          <w:rFonts w:ascii="Times New Roman" w:hAnsi="Times New Roman" w:cs="Times New Roman"/>
          <w:i/>
          <w:iCs/>
        </w:rPr>
      </w:pPr>
      <w:r>
        <w:rPr>
          <w:rFonts w:ascii="Times New Roman" w:hAnsi="Times New Roman" w:cs="Times New Roman"/>
          <w:i/>
          <w:iCs/>
        </w:rPr>
        <w:t xml:space="preserve">SRS for positioning configurations in multiple cells [RAN2, RAN1]. </w:t>
      </w:r>
    </w:p>
    <w:p>
      <w:pPr>
        <w:numPr>
          <w:ilvl w:val="0"/>
          <w:numId w:val="14"/>
        </w:numPr>
        <w:ind w:left="1260"/>
        <w:rPr>
          <w:rFonts w:ascii="Times New Roman" w:hAnsi="Times New Roman" w:cs="Times New Roman"/>
          <w:i/>
          <w:iCs/>
        </w:rPr>
      </w:pPr>
      <w:r>
        <w:rPr>
          <w:rFonts w:ascii="Times New Roman" w:hAnsi="Times New Roman" w:cs="Times New Roman"/>
          <w:i/>
          <w:iCs/>
        </w:rPr>
        <w:t xml:space="preserve">Note: Details including issues such as interference, timing advance, spatial relation information, pathloss </w:t>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reference and common SRS parameters across multiple cells can be further discussed during normative work.</w:t>
      </w:r>
    </w:p>
    <w:p>
      <w:pPr>
        <w:numPr>
          <w:ilvl w:val="0"/>
          <w:numId w:val="13"/>
        </w:numPr>
        <w:ind w:left="840"/>
        <w:rPr>
          <w:rFonts w:ascii="Times New Roman" w:hAnsi="Times New Roman" w:cs="Times New Roman"/>
          <w:i/>
          <w:iCs/>
        </w:rPr>
      </w:pPr>
      <w:r>
        <w:rPr>
          <w:rFonts w:ascii="Times New Roman" w:hAnsi="Times New Roman" w:cs="Times New Roman"/>
          <w:i/>
          <w:iCs/>
        </w:rPr>
        <w:t>Pre-configuration of one or multiple SRS for positioning configurations [RAN2, RAN3].</w:t>
      </w:r>
    </w:p>
    <w:p>
      <w:pPr>
        <w:numPr>
          <w:ilvl w:val="0"/>
          <w:numId w:val="13"/>
        </w:numPr>
        <w:ind w:left="840"/>
        <w:rPr>
          <w:rFonts w:ascii="Times New Roman" w:hAnsi="Times New Roman" w:cs="Times New Roman"/>
          <w:i/>
          <w:iCs/>
        </w:rPr>
      </w:pPr>
      <w:r>
        <w:rPr>
          <w:rFonts w:ascii="Times New Roman" w:hAnsi="Times New Roman" w:cs="Times New Roman"/>
          <w:i/>
          <w:iCs/>
        </w:rPr>
        <w:t>SRS for positioning activation/request procedure(s) [RAN2, RAN1].</w:t>
      </w:r>
    </w:p>
    <w:p>
      <w:pPr>
        <w:snapToGrid w:val="0"/>
        <w:spacing w:before="120" w:beforeLines="50" w:after="120" w:afterLines="50"/>
        <w:rPr>
          <w:rFonts w:ascii="Times New Roman" w:hAnsi="Times New Roman" w:cs="Times New Roman"/>
        </w:rPr>
      </w:pPr>
      <w:r>
        <w:rPr>
          <w:rFonts w:ascii="Times New Roman" w:hAnsi="Times New Roman" w:eastAsia="宋体" w:cs="Times New Roman"/>
          <w:sz w:val="20"/>
          <w:szCs w:val="20"/>
          <w:lang w:bidi="ar"/>
        </w:rPr>
        <w:t>In the first bullet, it is noted that the SRS configuration is similar to the DL-PRS configuration in Release 17, where it is configured with a validity area by the last serving gNB that releases the UE into RRC_INACTIVE. This means that the UE will utilize the SRS configuration as long as it remains within the range of the cell list.</w:t>
      </w:r>
      <w:r>
        <w:rPr>
          <w:rFonts w:ascii="Times New Roman" w:hAnsi="Times New Roman" w:cs="Times New Roman"/>
          <w:sz w:val="20"/>
          <w:szCs w:val="20"/>
          <w:lang w:bidi="ar"/>
        </w:rPr>
        <w:t xml:space="preserve"> R</w:t>
      </w:r>
      <w:r>
        <w:rPr>
          <w:rFonts w:ascii="Times New Roman" w:hAnsi="Times New Roman" w:cs="Times New Roman"/>
        </w:rPr>
        <w:t>AN2 and RAN1 are currently discussing the common SRS configuration parameters across multiple cells within the validity area.</w:t>
      </w:r>
      <w:r>
        <w:rPr>
          <w:rFonts w:ascii="Times New Roman" w:hAnsi="Times New Roman" w:eastAsia="宋体" w:cs="Times New Roman"/>
          <w:sz w:val="20"/>
          <w:szCs w:val="20"/>
          <w:lang w:bidi="ar"/>
        </w:rPr>
        <w:t xml:space="preserve"> </w:t>
      </w:r>
    </w:p>
    <w:p>
      <w:pPr>
        <w:rPr>
          <w:rFonts w:ascii="Times New Roman" w:hAnsi="Times New Roman" w:cs="Times New Roman"/>
          <w:lang w:bidi="ar"/>
        </w:rPr>
      </w:pPr>
      <w:r>
        <w:rPr>
          <w:rFonts w:ascii="Times New Roman" w:hAnsi="Times New Roman" w:eastAsia="宋体" w:cs="Times New Roman"/>
          <w:sz w:val="20"/>
          <w:szCs w:val="20"/>
          <w:lang w:bidi="ar"/>
        </w:rPr>
        <w:t>In the second bullet, it is mentioned that multiple cell's SRS configuration can be pre-configured by the last serving gNB that releases the UE into RRC_INACTIVE. Each SRS configuration can be associated with a cell ID, and when the UE re-selects to a particular cell, the corresponding SRS configuration of the camp cell should be adopted, and the SRS transmission of the previous cell should be stopped.</w:t>
      </w:r>
    </w:p>
    <w:p>
      <w:pPr>
        <w:snapToGrid w:val="0"/>
        <w:spacing w:before="120" w:beforeLines="50" w:after="120" w:afterLines="50"/>
        <w:rPr>
          <w:rFonts w:ascii="Times New Roman" w:hAnsi="Times New Roman" w:cs="Times New Roman"/>
          <w:lang w:bidi="ar"/>
        </w:rPr>
      </w:pPr>
      <w:r>
        <w:rPr>
          <w:rFonts w:ascii="Times New Roman" w:hAnsi="Times New Roman" w:cs="Times New Roman"/>
        </w:rPr>
        <w:t xml:space="preserve">With respect to the second bullet, currently </w:t>
      </w:r>
      <w:r>
        <w:rPr>
          <w:rFonts w:ascii="Times New Roman" w:hAnsi="Times New Roman" w:eastAsia="宋体" w:cs="Times New Roman"/>
          <w:sz w:val="20"/>
          <w:szCs w:val="20"/>
          <w:lang w:bidi="ar"/>
        </w:rPr>
        <w:t>UE has to enter RRC_CONNECTED state when receiving SRS configuration. To avoid frequent state transition, p</w:t>
      </w:r>
      <w:r>
        <w:rPr>
          <w:rFonts w:ascii="Times New Roman" w:hAnsi="Times New Roman" w:eastAsia="宋体" w:cs="Times New Roman"/>
          <w:sz w:val="20"/>
          <w:szCs w:val="20"/>
          <w:lang w:eastAsia="ko" w:bidi="ar"/>
        </w:rPr>
        <w:t>re-configuration of one or multiple SRS for positioning configurations</w:t>
      </w:r>
      <w:r>
        <w:rPr>
          <w:rFonts w:ascii="Times New Roman" w:hAnsi="Times New Roman" w:eastAsia="宋体" w:cs="Times New Roman"/>
          <w:sz w:val="20"/>
          <w:szCs w:val="20"/>
          <w:lang w:bidi="ar"/>
        </w:rPr>
        <w:t xml:space="preserve"> is proposed for power saving purpose.</w:t>
      </w:r>
      <w:r>
        <w:rPr>
          <w:rFonts w:ascii="Times New Roman" w:hAnsi="Times New Roman" w:cs="Times New Roman"/>
          <w:sz w:val="20"/>
          <w:szCs w:val="20"/>
          <w:lang w:bidi="ar"/>
        </w:rPr>
        <w:t xml:space="preserve"> </w:t>
      </w:r>
      <w:r>
        <w:rPr>
          <w:rFonts w:ascii="Times New Roman" w:hAnsi="Times New Roman" w:eastAsia="宋体" w:cs="Times New Roman"/>
          <w:sz w:val="20"/>
          <w:szCs w:val="20"/>
          <w:lang w:bidi="ar"/>
        </w:rPr>
        <w:t xml:space="preserve">In SRS pre-configuration procedure, UE should be configured with a SRS pre-configuration list specifying the explicit SRS configuration for multiple cells. </w:t>
      </w:r>
    </w:p>
    <w:p>
      <w:pPr>
        <w:snapToGrid w:val="0"/>
        <w:spacing w:before="120" w:beforeLines="50" w:after="120" w:afterLines="50"/>
        <w:rPr>
          <w:rFonts w:ascii="Times New Roman" w:hAnsi="Times New Roman" w:cs="Times New Roman"/>
          <w:lang w:bidi="ar"/>
        </w:rPr>
      </w:pPr>
      <w:r>
        <w:rPr>
          <w:rFonts w:ascii="Times New Roman" w:hAnsi="Times New Roman" w:eastAsia="宋体" w:cs="Times New Roman"/>
          <w:sz w:val="20"/>
          <w:szCs w:val="20"/>
          <w:lang w:bidi="ar"/>
        </w:rPr>
        <w:t xml:space="preserve">As shown in </w:t>
      </w:r>
      <w:r>
        <w:rPr>
          <w:rFonts w:ascii="Times New Roman" w:hAnsi="Times New Roman" w:cs="Times New Roman"/>
          <w:sz w:val="20"/>
          <w:szCs w:val="20"/>
          <w:lang w:bidi="ar"/>
        </w:rPr>
        <w:t>Figure 1</w:t>
      </w:r>
      <w:r>
        <w:rPr>
          <w:rFonts w:ascii="Times New Roman" w:hAnsi="Times New Roman" w:eastAsia="宋体" w:cs="Times New Roman"/>
          <w:sz w:val="20"/>
          <w:szCs w:val="20"/>
          <w:lang w:bidi="ar"/>
        </w:rPr>
        <w:t>, suppose that a SRS configuration validity area consist of 6 cells, and UE is within the coverage of cell 1 in the initial state. To transmit SRS, UE will enter RRC_CONNECTED state in cell 1 to get the SRS configuration parameters within the validity area. And UE will transmit SRS using SRS pre-configuration parameters of cell 1. When it moves to a new camp cell, UE will transmit SRS using the SRS pre-configuration parameters in cell 2. And if UE moves to the third cell, i.e., cell 5, SRS is transmitted with pre-configured parameters using cell 5 configuration. In these cell re-selection procedures, UE can transmit SRS avoiding enter RRC_CONNECTED state. UE can automatically adopt the corresponding configuration of a new cell when it camps on the new cell within the validity area.</w:t>
      </w:r>
    </w:p>
    <w:p>
      <w:pPr>
        <w:snapToGrid w:val="0"/>
        <w:spacing w:before="120" w:beforeLines="50" w:after="120" w:afterLines="50"/>
        <w:jc w:val="center"/>
      </w:pPr>
      <w:r>
        <w:drawing>
          <wp:inline distT="0" distB="0" distL="114300" distR="114300">
            <wp:extent cx="3816350" cy="2243455"/>
            <wp:effectExtent l="0" t="0" r="1270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3816350" cy="2243455"/>
                    </a:xfrm>
                    <a:prstGeom prst="rect">
                      <a:avLst/>
                    </a:prstGeom>
                    <a:noFill/>
                    <a:ln>
                      <a:noFill/>
                    </a:ln>
                  </pic:spPr>
                </pic:pic>
              </a:graphicData>
            </a:graphic>
          </wp:inline>
        </w:drawing>
      </w:r>
    </w:p>
    <w:p>
      <w:pPr>
        <w:snapToGrid w:val="0"/>
        <w:spacing w:before="120" w:beforeLines="50" w:after="120" w:afterLines="50"/>
        <w:ind w:left="1136" w:firstLine="284"/>
        <w:rPr>
          <w:lang w:bidi="ar"/>
        </w:rPr>
      </w:pPr>
      <w:r>
        <w:rPr>
          <w:rFonts w:hint="eastAsia" w:ascii="Times New Roman" w:hAnsi="Times New Roman" w:eastAsia="宋体" w:cs="Times New Roman"/>
          <w:sz w:val="20"/>
          <w:szCs w:val="20"/>
          <w:lang w:bidi="ar"/>
        </w:rPr>
        <w:t>Figure</w:t>
      </w:r>
      <w:r>
        <w:rPr>
          <w:rFonts w:hint="eastAsia" w:cs="Times New Roman"/>
          <w:sz w:val="20"/>
          <w:szCs w:val="20"/>
          <w:lang w:bidi="ar"/>
        </w:rPr>
        <w:t xml:space="preserve"> </w:t>
      </w:r>
      <w:r>
        <w:rPr>
          <w:rFonts w:hint="eastAsia" w:ascii="Times New Roman" w:hAnsi="Times New Roman" w:eastAsia="宋体" w:cs="Times New Roman"/>
          <w:sz w:val="20"/>
          <w:szCs w:val="20"/>
          <w:lang w:bidi="ar"/>
        </w:rPr>
        <w:t xml:space="preserve">1. </w:t>
      </w:r>
      <w:r>
        <w:rPr>
          <w:rFonts w:ascii="Times New Roman" w:hAnsi="Times New Roman" w:eastAsia="宋体" w:cs="Times New Roman"/>
          <w:sz w:val="20"/>
          <w:szCs w:val="20"/>
          <w:lang w:bidi="ar"/>
        </w:rPr>
        <w:t>Example for SRS transmission details while adopting SRS pre-configuration</w:t>
      </w:r>
    </w:p>
    <w:p>
      <w:pPr>
        <w:pStyle w:val="108"/>
        <w:numPr>
          <w:ilvl w:val="0"/>
          <w:numId w:val="11"/>
        </w:numPr>
        <w:rPr>
          <w:rFonts w:ascii="Times New Roman" w:hAnsi="Times New Roman" w:cs="Times New Roman"/>
          <w:b/>
          <w:sz w:val="20"/>
          <w:szCs w:val="20"/>
        </w:rPr>
      </w:pPr>
      <w:r>
        <w:rPr>
          <w:rFonts w:ascii="Times New Roman" w:hAnsi="Times New Roman" w:cs="Times New Roman"/>
          <w:b/>
          <w:sz w:val="20"/>
          <w:szCs w:val="20"/>
        </w:rPr>
        <w:t>Support SRS pre-configuration based on SRS positioning validity area to avoid frequent RRC connection for SRS (re)configuration.</w:t>
      </w:r>
    </w:p>
    <w:p>
      <w:pPr>
        <w:snapToGrid w:val="0"/>
        <w:spacing w:before="120" w:beforeLines="50" w:after="120" w:afterLines="50"/>
        <w:rPr>
          <w:rFonts w:ascii="Times New Roman" w:hAnsi="Times New Roman" w:eastAsia="宋体" w:cs="Times New Roman"/>
          <w:sz w:val="20"/>
          <w:szCs w:val="20"/>
          <w:lang w:bidi="ar"/>
        </w:rPr>
      </w:pPr>
      <w:r>
        <w:rPr>
          <w:rFonts w:ascii="Times New Roman" w:hAnsi="Times New Roman" w:eastAsia="宋体" w:cs="Times New Roman"/>
          <w:sz w:val="20"/>
          <w:szCs w:val="20"/>
          <w:lang w:bidi="ar"/>
        </w:rPr>
        <w:t>Based on the discussion provided, it seems that the impact of RAN3 is related to how the Location Measurement Function (LMF) can collect multiple SRS configurations from different gNBs and how the serving gNB can obtain these multiple SRS configurations from LMF. Figure 2 illustrates a potential solution to this problem.</w:t>
      </w:r>
    </w:p>
    <w:p>
      <w:pPr>
        <w:snapToGrid w:val="0"/>
        <w:spacing w:before="120" w:beforeLines="50" w:after="120" w:afterLines="50"/>
        <w:jc w:val="center"/>
        <w:rPr>
          <w:lang w:bidi="ar"/>
        </w:rPr>
      </w:pPr>
      <w:r>
        <w:rPr>
          <w:lang w:bidi="ar"/>
        </w:rPr>
        <w:object>
          <v:shape id="_x0000_i1025" o:spt="75" type="#_x0000_t75" style="height:182.15pt;width:380.95pt;" o:ole="t" filled="f" o:preferrelative="t" stroked="f" coordsize="21600,21600">
            <v:path/>
            <v:fill on="f" focussize="0,0"/>
            <v:stroke on="f" joinstyle="miter"/>
            <v:imagedata r:id="rId7" o:title=""/>
            <o:lock v:ext="edit" aspectratio="t"/>
            <w10:wrap type="none"/>
            <w10:anchorlock/>
          </v:shape>
          <o:OLEObject Type="Embed" ProgID="Mscgen.Chart" ShapeID="_x0000_i1025" DrawAspect="Content" ObjectID="_1468075725" r:id="rId6">
            <o:LockedField>false</o:LockedField>
          </o:OLEObject>
        </w:object>
      </w:r>
    </w:p>
    <w:p>
      <w:pPr>
        <w:jc w:val="center"/>
        <w:rPr>
          <w:rFonts w:ascii="Times New Roman" w:hAnsi="Times New Roman" w:cs="Times New Roman"/>
        </w:rPr>
      </w:pPr>
      <w:r>
        <w:rPr>
          <w:rFonts w:ascii="Times New Roman" w:hAnsi="Times New Roman" w:cs="Times New Roman"/>
        </w:rPr>
        <w:t>Figure 2. Procedures when UE reselects out of positioning validity area</w:t>
      </w:r>
    </w:p>
    <w:p>
      <w:pPr>
        <w:snapToGrid w:val="0"/>
        <w:spacing w:before="120" w:beforeLines="50" w:after="120" w:afterLines="50"/>
        <w:rPr>
          <w:rFonts w:ascii="Times New Roman" w:hAnsi="Times New Roman" w:eastAsia="宋体" w:cs="Times New Roman"/>
          <w:sz w:val="20"/>
          <w:szCs w:val="20"/>
          <w:lang w:bidi="ar"/>
        </w:rPr>
      </w:pPr>
      <w:r>
        <w:rPr>
          <w:rFonts w:hint="eastAsia" w:ascii="Times New Roman" w:hAnsi="Times New Roman" w:eastAsia="宋体" w:cs="Times New Roman"/>
          <w:sz w:val="20"/>
          <w:szCs w:val="20"/>
          <w:lang w:bidi="ar"/>
        </w:rPr>
        <w:t>It is noted that LMF can send a request message to each gNB within the positioning validity area, and the gNBs respond with the SRS configuration and its associated identity via a response message. And its associated identity can be PCI.</w:t>
      </w:r>
      <w:r>
        <w:rPr>
          <w:rFonts w:ascii="Times New Roman" w:hAnsi="Times New Roman" w:eastAsia="宋体" w:cs="Times New Roman"/>
          <w:sz w:val="20"/>
          <w:szCs w:val="20"/>
          <w:lang w:bidi="ar"/>
        </w:rPr>
        <w:t xml:space="preserve"> Here, the Positioning Information Exchange procedure can be reused.</w:t>
      </w:r>
    </w:p>
    <w:p>
      <w:pPr>
        <w:pStyle w:val="108"/>
        <w:numPr>
          <w:ilvl w:val="0"/>
          <w:numId w:val="11"/>
        </w:numPr>
        <w:rPr>
          <w:rFonts w:ascii="Times New Roman" w:hAnsi="Times New Roman" w:cs="Times New Roman"/>
          <w:b/>
          <w:sz w:val="20"/>
          <w:szCs w:val="20"/>
        </w:rPr>
      </w:pPr>
      <w:r>
        <w:rPr>
          <w:rFonts w:hint="eastAsia" w:ascii="Times New Roman" w:hAnsi="Times New Roman" w:cs="Times New Roman"/>
          <w:b/>
          <w:sz w:val="20"/>
          <w:szCs w:val="20"/>
        </w:rPr>
        <w:t>RAN3 should discuss whether the procedure used to collect multiple SRS configurations is a new procedure or an existing procedure. The details of SRS configuration parameters is pending RAN1 and RAN2.</w:t>
      </w:r>
    </w:p>
    <w:p>
      <w:pPr>
        <w:pStyle w:val="108"/>
        <w:numPr>
          <w:ilvl w:val="0"/>
          <w:numId w:val="11"/>
        </w:numPr>
        <w:rPr>
          <w:rFonts w:ascii="Times New Roman" w:hAnsi="Times New Roman" w:cs="Times New Roman"/>
          <w:b/>
          <w:sz w:val="20"/>
          <w:szCs w:val="20"/>
        </w:rPr>
      </w:pPr>
      <w:r>
        <w:rPr>
          <w:rFonts w:ascii="Times New Roman" w:hAnsi="Times New Roman" w:eastAsia="宋体" w:cs="Times New Roman"/>
          <w:b/>
          <w:sz w:val="20"/>
          <w:szCs w:val="20"/>
          <w:lang w:bidi="ar"/>
        </w:rPr>
        <w:t>The Positioning Information Exchange procedure can be reused to c</w:t>
      </w:r>
      <w:r>
        <w:rPr>
          <w:rFonts w:hint="eastAsia" w:ascii="Times New Roman" w:hAnsi="Times New Roman" w:cs="Times New Roman"/>
          <w:b/>
          <w:sz w:val="20"/>
          <w:szCs w:val="20"/>
        </w:rPr>
        <w:t>ollect multiple SRS configurations</w:t>
      </w:r>
      <w:r>
        <w:rPr>
          <w:rFonts w:ascii="Times New Roman" w:hAnsi="Times New Roman" w:cs="Times New Roman"/>
          <w:b/>
          <w:sz w:val="20"/>
          <w:szCs w:val="20"/>
        </w:rPr>
        <w:t>. In particular, each SRS configuration is associated with the cell identity</w:t>
      </w:r>
      <w:r>
        <w:rPr>
          <w:rFonts w:ascii="Times New Roman" w:hAnsi="Times New Roman" w:eastAsia="宋体" w:cs="Times New Roman"/>
          <w:b/>
          <w:sz w:val="20"/>
          <w:szCs w:val="20"/>
          <w:lang w:bidi="ar"/>
        </w:rPr>
        <w:t>.</w:t>
      </w:r>
    </w:p>
    <w:p>
      <w:pPr>
        <w:snapToGrid w:val="0"/>
        <w:spacing w:before="120" w:beforeLines="50" w:after="120" w:afterLines="50"/>
        <w:rPr>
          <w:rFonts w:ascii="Times New Roman" w:hAnsi="Times New Roman" w:eastAsia="宋体" w:cs="Times New Roman"/>
          <w:sz w:val="20"/>
          <w:szCs w:val="20"/>
          <w:lang w:bidi="ar"/>
        </w:rPr>
      </w:pPr>
      <w:r>
        <w:rPr>
          <w:rFonts w:hint="eastAsia" w:ascii="Times New Roman" w:hAnsi="Times New Roman" w:eastAsia="宋体" w:cs="Times New Roman"/>
          <w:sz w:val="20"/>
          <w:szCs w:val="20"/>
          <w:lang w:bidi="ar"/>
        </w:rPr>
        <w:t xml:space="preserve">LMF can tell the SRS configuration list collected above to the serving gNB via the </w:t>
      </w:r>
      <w:r>
        <w:rPr>
          <w:rFonts w:ascii="Times New Roman" w:hAnsi="Times New Roman" w:eastAsia="宋体" w:cs="Times New Roman"/>
          <w:sz w:val="20"/>
          <w:szCs w:val="20"/>
          <w:lang w:bidi="ar"/>
        </w:rPr>
        <w:t xml:space="preserve">NRPPa message </w:t>
      </w:r>
      <w:r>
        <w:rPr>
          <w:rFonts w:hint="eastAsia" w:ascii="Times New Roman" w:hAnsi="Times New Roman" w:eastAsia="宋体" w:cs="Times New Roman"/>
          <w:sz w:val="20"/>
          <w:szCs w:val="20"/>
          <w:lang w:bidi="ar"/>
        </w:rPr>
        <w:t>so that UE can be pre-configured with multiple SRS configurations.</w:t>
      </w:r>
      <w:r>
        <w:rPr>
          <w:rFonts w:ascii="Times New Roman" w:hAnsi="Times New Roman" w:eastAsia="宋体" w:cs="Times New Roman"/>
          <w:sz w:val="20"/>
          <w:szCs w:val="20"/>
          <w:lang w:bidi="ar"/>
        </w:rPr>
        <w:t xml:space="preserve"> Here, the new NRPPa SRS Preconfiguration Exchange procedure can be introduced.</w:t>
      </w:r>
    </w:p>
    <w:p>
      <w:pPr>
        <w:pStyle w:val="108"/>
        <w:numPr>
          <w:ilvl w:val="0"/>
          <w:numId w:val="11"/>
        </w:numPr>
        <w:rPr>
          <w:rFonts w:ascii="Times New Roman" w:hAnsi="Times New Roman" w:cs="Times New Roman"/>
          <w:b/>
          <w:sz w:val="20"/>
          <w:szCs w:val="20"/>
        </w:rPr>
      </w:pPr>
      <w:r>
        <w:rPr>
          <w:rFonts w:ascii="Times New Roman" w:hAnsi="Times New Roman" w:cs="Times New Roman"/>
          <w:b/>
          <w:sz w:val="20"/>
          <w:szCs w:val="20"/>
        </w:rPr>
        <w:t>RAN3 should discuss whether to r</w:t>
      </w:r>
      <w:r>
        <w:rPr>
          <w:rFonts w:hint="eastAsia" w:ascii="Times New Roman" w:hAnsi="Times New Roman" w:cs="Times New Roman"/>
          <w:b/>
          <w:sz w:val="20"/>
          <w:szCs w:val="20"/>
        </w:rPr>
        <w:t>euse the</w:t>
      </w:r>
      <w:r>
        <w:rPr>
          <w:rFonts w:ascii="Times New Roman" w:hAnsi="Times New Roman" w:cs="Times New Roman"/>
          <w:b/>
          <w:sz w:val="20"/>
          <w:szCs w:val="20"/>
        </w:rPr>
        <w:t xml:space="preserve"> existing procedure or an existing procedure</w:t>
      </w:r>
      <w:r>
        <w:rPr>
          <w:rFonts w:hint="eastAsia" w:ascii="Times New Roman" w:hAnsi="Times New Roman" w:cs="Times New Roman"/>
          <w:b/>
          <w:sz w:val="20"/>
          <w:szCs w:val="20"/>
        </w:rPr>
        <w:t xml:space="preserve"> to </w:t>
      </w:r>
      <w:r>
        <w:rPr>
          <w:rFonts w:ascii="Times New Roman" w:hAnsi="Times New Roman" w:cs="Times New Roman"/>
          <w:b/>
          <w:sz w:val="20"/>
          <w:szCs w:val="20"/>
        </w:rPr>
        <w:t>inform</w:t>
      </w:r>
      <w:r>
        <w:rPr>
          <w:rFonts w:hint="eastAsia" w:ascii="Times New Roman" w:hAnsi="Times New Roman" w:cs="Times New Roman"/>
          <w:b/>
          <w:sz w:val="20"/>
          <w:szCs w:val="20"/>
        </w:rPr>
        <w:t xml:space="preserve"> multiple SRS configurations to serving gNB. </w:t>
      </w:r>
    </w:p>
    <w:p>
      <w:pPr>
        <w:pStyle w:val="108"/>
        <w:numPr>
          <w:ilvl w:val="0"/>
          <w:numId w:val="11"/>
        </w:numPr>
        <w:rPr>
          <w:rFonts w:ascii="Times New Roman" w:hAnsi="Times New Roman" w:cs="Times New Roman"/>
          <w:b/>
          <w:sz w:val="20"/>
          <w:szCs w:val="20"/>
        </w:rPr>
      </w:pPr>
      <w:r>
        <w:rPr>
          <w:rFonts w:ascii="Times New Roman" w:hAnsi="Times New Roman" w:eastAsia="宋体" w:cs="Times New Roman"/>
          <w:b/>
          <w:sz w:val="20"/>
          <w:szCs w:val="20"/>
          <w:lang w:bidi="ar"/>
        </w:rPr>
        <w:t xml:space="preserve">The new NRPPa SRS Preconfiguration Exchange procedure can be introduced to </w:t>
      </w:r>
      <w:r>
        <w:rPr>
          <w:rFonts w:ascii="Times New Roman" w:hAnsi="Times New Roman" w:cs="Times New Roman"/>
          <w:b/>
          <w:sz w:val="20"/>
          <w:szCs w:val="20"/>
        </w:rPr>
        <w:t>inform</w:t>
      </w:r>
      <w:r>
        <w:rPr>
          <w:rFonts w:hint="eastAsia" w:ascii="Times New Roman" w:hAnsi="Times New Roman" w:cs="Times New Roman"/>
          <w:b/>
          <w:sz w:val="20"/>
          <w:szCs w:val="20"/>
        </w:rPr>
        <w:t xml:space="preserve"> multiple SRS configurations f</w:t>
      </w:r>
      <w:r>
        <w:rPr>
          <w:rFonts w:ascii="Times New Roman" w:hAnsi="Times New Roman" w:cs="Times New Roman"/>
          <w:b/>
          <w:sz w:val="20"/>
          <w:szCs w:val="20"/>
        </w:rPr>
        <w:t xml:space="preserve">rom LMF </w:t>
      </w:r>
      <w:r>
        <w:rPr>
          <w:rFonts w:hint="eastAsia" w:ascii="Times New Roman" w:hAnsi="Times New Roman" w:cs="Times New Roman"/>
          <w:b/>
          <w:sz w:val="20"/>
          <w:szCs w:val="20"/>
        </w:rPr>
        <w:t>to serving gNB.</w:t>
      </w:r>
    </w:p>
    <w:p>
      <w:pPr>
        <w:pStyle w:val="5"/>
        <w:rPr>
          <w:lang w:val="en-US" w:eastAsia="zh-CN"/>
        </w:rPr>
      </w:pPr>
      <w:r>
        <w:rPr>
          <w:rFonts w:hint="eastAsia"/>
          <w:lang w:val="en-US" w:eastAsia="zh-CN"/>
        </w:rPr>
        <w:t xml:space="preserve">SRS configuration request </w:t>
      </w:r>
    </w:p>
    <w:p>
      <w:pPr>
        <w:snapToGrid w:val="0"/>
        <w:spacing w:before="120" w:beforeLines="50" w:after="120" w:afterLines="50"/>
        <w:rPr>
          <w:rFonts w:ascii="Times New Roman" w:hAnsi="Times New Roman" w:eastAsia="宋体" w:cs="Times New Roman"/>
          <w:sz w:val="20"/>
          <w:szCs w:val="20"/>
          <w:lang w:bidi="ar"/>
        </w:rPr>
      </w:pPr>
      <w:r>
        <w:rPr>
          <w:rFonts w:ascii="Times New Roman" w:hAnsi="Times New Roman" w:eastAsia="宋体" w:cs="Times New Roman"/>
          <w:sz w:val="20"/>
          <w:szCs w:val="20"/>
          <w:lang w:bidi="ar"/>
        </w:rPr>
        <w:t>The following has also been received from the LS from R</w:t>
      </w:r>
      <w:r>
        <w:rPr>
          <w:rFonts w:hint="eastAsia" w:ascii="Times New Roman" w:hAnsi="Times New Roman" w:eastAsia="宋体" w:cs="Times New Roman"/>
          <w:sz w:val="20"/>
          <w:szCs w:val="20"/>
          <w:lang w:bidi="ar"/>
        </w:rPr>
        <w:t>AN2</w:t>
      </w:r>
      <w:r>
        <w:rPr>
          <w:rFonts w:ascii="Times New Roman" w:hAnsi="Times New Roman" w:eastAsia="宋体" w:cs="Times New Roman"/>
          <w:sz w:val="20"/>
          <w:szCs w:val="20"/>
          <w:lang w:bidi="ar"/>
        </w:rPr>
        <w:t xml:space="preserve"> on the</w:t>
      </w:r>
      <w:r>
        <w:rPr>
          <w:rFonts w:hint="eastAsia" w:ascii="Times New Roman" w:hAnsi="Times New Roman" w:eastAsia="宋体" w:cs="Times New Roman"/>
          <w:sz w:val="20"/>
          <w:szCs w:val="20"/>
          <w:lang w:bidi="ar"/>
        </w:rPr>
        <w:t xml:space="preserve"> SRS configuration request</w:t>
      </w:r>
      <w:r>
        <w:rPr>
          <w:rFonts w:ascii="Times New Roman" w:hAnsi="Times New Roman" w:eastAsia="宋体" w:cs="Times New Roman"/>
          <w:sz w:val="20"/>
          <w:szCs w:val="20"/>
          <w:lang w:bidi="ar"/>
        </w:rPr>
        <w:t xml:space="preserve"> as in R2-2302278</w:t>
      </w:r>
      <w:r>
        <w:rPr>
          <w:rFonts w:hint="eastAsia" w:ascii="Times New Roman" w:hAnsi="Times New Roman" w:eastAsia="宋体" w:cs="Times New Roman"/>
          <w:sz w:val="20"/>
          <w:szCs w:val="20"/>
          <w:lang w:bidi="ar"/>
        </w:rPr>
        <w:t xml:space="preserve"> [2]</w:t>
      </w:r>
      <w:r>
        <w:rPr>
          <w:rFonts w:ascii="Times New Roman" w:hAnsi="Times New Roman" w:eastAsia="宋体" w:cs="Times New Roman"/>
          <w:sz w:val="20"/>
          <w:szCs w:val="20"/>
          <w:lang w:bidi="ar"/>
        </w:rPr>
        <w:t>.</w:t>
      </w:r>
    </w:p>
    <w:p>
      <w:pPr>
        <w:snapToGrid w:val="0"/>
        <w:spacing w:before="120" w:beforeLines="50" w:after="120" w:afterLines="50"/>
        <w:rPr>
          <w:rFonts w:ascii="Times New Roman" w:hAnsi="Times New Roman" w:eastAsia="宋体" w:cs="Times New Roman"/>
          <w:i/>
          <w:sz w:val="20"/>
          <w:szCs w:val="20"/>
          <w:u w:val="single"/>
          <w:lang w:bidi="ar"/>
        </w:rPr>
      </w:pPr>
      <w:r>
        <w:rPr>
          <w:rFonts w:ascii="Times New Roman" w:hAnsi="Times New Roman" w:eastAsia="宋体" w:cs="Times New Roman"/>
          <w:i/>
          <w:sz w:val="20"/>
          <w:szCs w:val="20"/>
          <w:u w:val="single"/>
          <w:lang w:bidi="ar"/>
        </w:rPr>
        <w:t>Agreements:</w:t>
      </w:r>
    </w:p>
    <w:p>
      <w:pPr>
        <w:snapToGrid w:val="0"/>
        <w:spacing w:before="120" w:beforeLines="50" w:after="120" w:afterLines="50"/>
        <w:rPr>
          <w:rFonts w:ascii="Times New Roman" w:hAnsi="Times New Roman" w:eastAsia="宋体" w:cs="Times New Roman"/>
          <w:i/>
          <w:sz w:val="20"/>
          <w:szCs w:val="20"/>
          <w:lang w:bidi="ar"/>
        </w:rPr>
      </w:pPr>
      <w:r>
        <w:rPr>
          <w:rFonts w:ascii="Times New Roman" w:hAnsi="Times New Roman" w:eastAsia="宋体" w:cs="Times New Roman"/>
          <w:i/>
          <w:sz w:val="20"/>
          <w:szCs w:val="20"/>
          <w:lang w:bidi="ar"/>
        </w:rPr>
        <w:t>RAN2 assume when the UE reselects out of the positioning validity area during SRS transmission, the UE may send an RRC message to the network for SRS configuration request.</w:t>
      </w:r>
    </w:p>
    <w:p>
      <w:pPr>
        <w:snapToGrid w:val="0"/>
        <w:spacing w:before="120" w:beforeLines="50" w:after="120" w:afterLines="50"/>
        <w:rPr>
          <w:rFonts w:ascii="Times New Roman" w:hAnsi="Times New Roman" w:eastAsia="宋体" w:cs="Times New Roman"/>
          <w:i/>
          <w:sz w:val="20"/>
          <w:szCs w:val="20"/>
          <w:lang w:bidi="ar"/>
        </w:rPr>
      </w:pPr>
      <w:r>
        <w:rPr>
          <w:rFonts w:hint="eastAsia" w:ascii="Times New Roman" w:hAnsi="Times New Roman" w:eastAsia="宋体" w:cs="Times New Roman"/>
          <w:i/>
          <w:sz w:val="20"/>
          <w:szCs w:val="20"/>
          <w:lang w:bidi="ar"/>
        </w:rPr>
        <w:t xml:space="preserve">RAN2 asks RAN3 to provide feedback/confirmation on the above agreement. </w:t>
      </w:r>
    </w:p>
    <w:p>
      <w:pPr>
        <w:snapToGrid w:val="0"/>
        <w:spacing w:before="120" w:beforeLines="50" w:after="120" w:afterLines="50"/>
        <w:rPr>
          <w:rFonts w:ascii="Times New Roman" w:hAnsi="Times New Roman" w:eastAsia="宋体" w:cs="Times New Roman"/>
          <w:sz w:val="20"/>
          <w:szCs w:val="20"/>
          <w:lang w:bidi="ar"/>
        </w:rPr>
      </w:pPr>
      <w:r>
        <w:rPr>
          <w:rFonts w:hint="eastAsia" w:ascii="Times New Roman" w:hAnsi="Times New Roman" w:eastAsia="宋体" w:cs="Times New Roman"/>
          <w:sz w:val="20"/>
          <w:szCs w:val="20"/>
          <w:lang w:bidi="ar"/>
        </w:rPr>
        <w:t>If the UE reselects out of the positioning validity area during SRS transmission, the SRS transmission of previous cell shall be stopped. Then in order to keep the positioning continuous, UE can send the SRS configuration request to the network, to request the new SRS configuration. And in the current Xn specification, there is the Positioning Information IE in the RETRIEVE UE CONTEXT RESPONSE message. Then the new gNB can obtain the requested SRS characteristics and routing ID from the last serving gNB. Based on the current specification, the procedure after UE send the SRS configuration to gNB can be shown as follows:</w:t>
      </w:r>
    </w:p>
    <w:p>
      <w:pPr>
        <w:jc w:val="center"/>
      </w:pPr>
      <w:r>
        <w:object>
          <v:shape id="_x0000_i1026" o:spt="75" type="#_x0000_t75" style="height:280.5pt;width:443.3pt;" o:ole="t" filled="f" o:preferrelative="t" stroked="f" coordsize="21600,21600">
            <v:path/>
            <v:fill on="f" focussize="0,0"/>
            <v:stroke on="f" joinstyle="miter"/>
            <v:imagedata r:id="rId9" o:title=""/>
            <o:lock v:ext="edit" aspectratio="t"/>
            <w10:wrap type="none"/>
            <w10:anchorlock/>
          </v:shape>
          <o:OLEObject Type="Embed" ProgID="Mscgen.Chart" ShapeID="_x0000_i1026" DrawAspect="Content" ObjectID="_1468075726" r:id="rId8">
            <o:LockedField>false</o:LockedField>
          </o:OLEObject>
        </w:object>
      </w:r>
    </w:p>
    <w:p>
      <w:pPr>
        <w:jc w:val="center"/>
      </w:pPr>
      <w:r>
        <w:rPr>
          <w:rFonts w:hint="eastAsia"/>
        </w:rPr>
        <w:t>Figure 3. Procedures when UE reselects out of positioning validity area</w:t>
      </w:r>
    </w:p>
    <w:p>
      <w:pPr>
        <w:snapToGrid w:val="0"/>
        <w:spacing w:before="120" w:beforeLines="50" w:after="120" w:afterLines="50"/>
        <w:rPr>
          <w:rFonts w:ascii="Times New Roman" w:hAnsi="Times New Roman" w:eastAsia="宋体" w:cs="Times New Roman"/>
          <w:sz w:val="20"/>
          <w:szCs w:val="20"/>
          <w:lang w:bidi="ar"/>
        </w:rPr>
      </w:pPr>
      <w:r>
        <w:rPr>
          <w:rFonts w:hint="eastAsia" w:ascii="Times New Roman" w:hAnsi="Times New Roman" w:eastAsia="宋体" w:cs="Times New Roman"/>
          <w:sz w:val="20"/>
          <w:szCs w:val="20"/>
          <w:lang w:bidi="ar"/>
        </w:rPr>
        <w:t>Step 1. UE sends the SRS configuration request via RRC message to the serving gNB.</w:t>
      </w:r>
    </w:p>
    <w:p>
      <w:pPr>
        <w:snapToGrid w:val="0"/>
        <w:spacing w:before="120" w:beforeLines="50" w:after="120" w:afterLines="50"/>
        <w:rPr>
          <w:rFonts w:ascii="Times New Roman" w:hAnsi="Times New Roman" w:eastAsia="宋体" w:cs="Times New Roman"/>
          <w:sz w:val="20"/>
          <w:szCs w:val="20"/>
          <w:lang w:bidi="ar"/>
        </w:rPr>
      </w:pPr>
      <w:r>
        <w:rPr>
          <w:rFonts w:hint="eastAsia" w:ascii="Times New Roman" w:hAnsi="Times New Roman" w:eastAsia="宋体" w:cs="Times New Roman"/>
          <w:sz w:val="20"/>
          <w:szCs w:val="20"/>
          <w:lang w:bidi="ar"/>
        </w:rPr>
        <w:t>Step 2&amp;3. The serving gNB achieves the requested SRS characteristics, etc via Retrieve UE content request/response message.</w:t>
      </w:r>
    </w:p>
    <w:p>
      <w:pPr>
        <w:snapToGrid w:val="0"/>
        <w:spacing w:before="120" w:beforeLines="50" w:after="120" w:afterLines="50"/>
        <w:rPr>
          <w:rFonts w:ascii="Times New Roman" w:hAnsi="Times New Roman" w:eastAsia="宋体" w:cs="Times New Roman"/>
          <w:sz w:val="20"/>
          <w:szCs w:val="20"/>
          <w:lang w:bidi="ar"/>
        </w:rPr>
      </w:pPr>
      <w:r>
        <w:rPr>
          <w:rFonts w:hint="eastAsia" w:ascii="Times New Roman" w:hAnsi="Times New Roman" w:eastAsia="宋体" w:cs="Times New Roman"/>
          <w:sz w:val="20"/>
          <w:szCs w:val="20"/>
          <w:lang w:bidi="ar"/>
        </w:rPr>
        <w:t xml:space="preserve">Step 4. </w:t>
      </w:r>
      <w:r>
        <w:rPr>
          <w:rFonts w:ascii="Times New Roman" w:hAnsi="Times New Roman" w:eastAsia="宋体" w:cs="Times New Roman"/>
          <w:sz w:val="20"/>
          <w:szCs w:val="20"/>
          <w:lang w:bidi="ar"/>
        </w:rPr>
        <w:t xml:space="preserve">The serving gNB determines the resources available for UL-SRS and configures the target device with the UL-SRS resource sets at step </w:t>
      </w:r>
      <w:r>
        <w:rPr>
          <w:rFonts w:hint="eastAsia" w:ascii="Times New Roman" w:hAnsi="Times New Roman" w:eastAsia="宋体" w:cs="Times New Roman"/>
          <w:sz w:val="20"/>
          <w:szCs w:val="20"/>
          <w:lang w:bidi="ar"/>
        </w:rPr>
        <w:t>4</w:t>
      </w:r>
      <w:r>
        <w:rPr>
          <w:rFonts w:ascii="Times New Roman" w:hAnsi="Times New Roman" w:eastAsia="宋体" w:cs="Times New Roman"/>
          <w:sz w:val="20"/>
          <w:szCs w:val="20"/>
          <w:lang w:bidi="ar"/>
        </w:rPr>
        <w:t>a.</w:t>
      </w:r>
    </w:p>
    <w:p>
      <w:pPr>
        <w:snapToGrid w:val="0"/>
        <w:spacing w:before="120" w:beforeLines="50" w:after="120" w:afterLines="50"/>
        <w:rPr>
          <w:rFonts w:ascii="Times New Roman" w:hAnsi="Times New Roman" w:eastAsia="宋体" w:cs="Times New Roman"/>
          <w:sz w:val="20"/>
          <w:szCs w:val="20"/>
          <w:lang w:bidi="ar"/>
        </w:rPr>
      </w:pPr>
      <w:r>
        <w:rPr>
          <w:rFonts w:hint="eastAsia" w:ascii="Times New Roman" w:hAnsi="Times New Roman" w:eastAsia="宋体" w:cs="Times New Roman"/>
          <w:sz w:val="20"/>
          <w:szCs w:val="20"/>
          <w:lang w:bidi="ar"/>
        </w:rPr>
        <w:t>Step 5. gNB sends POSITIONING INFORMATION UPDATE message to LMF on the change of SRS configuration.</w:t>
      </w:r>
    </w:p>
    <w:p>
      <w:pPr>
        <w:snapToGrid w:val="0"/>
        <w:spacing w:before="120" w:beforeLines="50" w:after="120" w:afterLines="50"/>
        <w:rPr>
          <w:rFonts w:ascii="Times New Roman" w:hAnsi="Times New Roman" w:eastAsia="宋体" w:cs="Times New Roman"/>
          <w:sz w:val="20"/>
          <w:szCs w:val="20"/>
          <w:lang w:bidi="ar"/>
        </w:rPr>
      </w:pPr>
      <w:r>
        <w:rPr>
          <w:rFonts w:hint="eastAsia" w:ascii="Times New Roman" w:hAnsi="Times New Roman" w:eastAsia="宋体" w:cs="Times New Roman"/>
          <w:sz w:val="20"/>
          <w:szCs w:val="20"/>
          <w:lang w:bidi="ar"/>
        </w:rPr>
        <w:t xml:space="preserve">Step 6-9. LMF may initiates the positioning activation procedure in the case of semi-persistent or aperiodic SRS, then </w:t>
      </w:r>
      <w:r>
        <w:rPr>
          <w:rFonts w:ascii="Times New Roman" w:hAnsi="Times New Roman" w:eastAsia="宋体" w:cs="Times New Roman"/>
          <w:sz w:val="20"/>
          <w:szCs w:val="20"/>
          <w:lang w:bidi="ar"/>
        </w:rPr>
        <w:t>The LMF provides the UL-SRS configuration to the selected gNBs in a NRPPa MEASUREMENT REQUEST message</w:t>
      </w:r>
      <w:r>
        <w:rPr>
          <w:rFonts w:hint="eastAsia" w:ascii="Times New Roman" w:hAnsi="Times New Roman" w:eastAsia="宋体" w:cs="Times New Roman"/>
          <w:sz w:val="20"/>
          <w:szCs w:val="20"/>
          <w:lang w:bidi="ar"/>
        </w:rPr>
        <w:t>.</w:t>
      </w:r>
    </w:p>
    <w:p>
      <w:pPr>
        <w:pStyle w:val="108"/>
        <w:numPr>
          <w:ilvl w:val="0"/>
          <w:numId w:val="11"/>
        </w:numPr>
        <w:rPr>
          <w:rFonts w:ascii="Times New Roman" w:hAnsi="Times New Roman" w:cs="Times New Roman"/>
          <w:b/>
          <w:sz w:val="20"/>
          <w:szCs w:val="20"/>
        </w:rPr>
      </w:pPr>
      <w:r>
        <w:rPr>
          <w:rFonts w:hint="eastAsia" w:ascii="Times New Roman" w:hAnsi="Times New Roman" w:cs="Times New Roman"/>
          <w:b/>
          <w:sz w:val="20"/>
          <w:szCs w:val="20"/>
        </w:rPr>
        <w:t>Reuse the legacy procedure to retrieve requested SRS characteristics from the last serving gNB in the case that the UE reselects out of the positioning validity area during SRS transmission.</w:t>
      </w:r>
    </w:p>
    <w:p>
      <w:pPr>
        <w:pStyle w:val="108"/>
        <w:numPr>
          <w:ilvl w:val="0"/>
          <w:numId w:val="11"/>
        </w:numPr>
        <w:rPr>
          <w:rFonts w:ascii="Times New Roman" w:hAnsi="Times New Roman" w:cs="Times New Roman"/>
          <w:b/>
          <w:sz w:val="20"/>
          <w:szCs w:val="20"/>
        </w:rPr>
      </w:pPr>
      <w:r>
        <w:rPr>
          <w:rFonts w:hint="eastAsia" w:ascii="Times New Roman" w:hAnsi="Times New Roman" w:cs="Times New Roman"/>
          <w:b/>
          <w:sz w:val="20"/>
          <w:szCs w:val="20"/>
        </w:rPr>
        <w:t>The serving gNB should tell LMF the change of SRS configuration after the serving gNB configure UL SRS resource based on the request SRS characteristics from the last serving gNB.</w:t>
      </w:r>
    </w:p>
    <w:p>
      <w:pPr>
        <w:snapToGrid w:val="0"/>
        <w:spacing w:before="120" w:beforeLines="50" w:after="120" w:afterLines="50"/>
        <w:rPr>
          <w:rFonts w:ascii="Times New Roman" w:hAnsi="Times New Roman" w:eastAsia="宋体" w:cs="Times New Roman"/>
          <w:sz w:val="20"/>
          <w:szCs w:val="20"/>
          <w:lang w:bidi="ar"/>
        </w:rPr>
      </w:pPr>
      <w:r>
        <w:rPr>
          <w:rFonts w:hint="eastAsia" w:ascii="Times New Roman" w:hAnsi="Times New Roman" w:eastAsia="宋体" w:cs="Times New Roman"/>
          <w:sz w:val="20"/>
          <w:szCs w:val="20"/>
          <w:lang w:bidi="ar"/>
        </w:rPr>
        <w:t>In response to RAN2's query, it is suggested that when the UE reselects out of the positioning validity area during SRS transmission, the UE may send an RRC message to the network for SRS configuration request. This request can be fulfilled through legacy mechanisms, where the serving gNB can configure the UL SRS resource for the UE based on the requested SRS characteristics achieved from the last serving gNB.</w:t>
      </w:r>
    </w:p>
    <w:p>
      <w:pPr>
        <w:pStyle w:val="108"/>
        <w:numPr>
          <w:ilvl w:val="0"/>
          <w:numId w:val="11"/>
        </w:numPr>
        <w:rPr>
          <w:rFonts w:ascii="Times New Roman" w:hAnsi="Times New Roman" w:cs="Times New Roman"/>
          <w:b/>
          <w:sz w:val="20"/>
          <w:szCs w:val="20"/>
        </w:rPr>
      </w:pPr>
      <w:r>
        <w:rPr>
          <w:rFonts w:hint="eastAsia" w:ascii="Times New Roman" w:hAnsi="Times New Roman" w:cs="Times New Roman"/>
          <w:b/>
          <w:sz w:val="20"/>
          <w:szCs w:val="20"/>
        </w:rPr>
        <w:t>Send the reply LS to RAN2 including above information.</w:t>
      </w:r>
    </w:p>
    <w:p>
      <w:pPr>
        <w:pStyle w:val="2"/>
        <w:rPr>
          <w:lang w:val="en-US"/>
        </w:rPr>
      </w:pPr>
      <w:r>
        <w:rPr>
          <w:lang w:val="en-US"/>
        </w:rPr>
        <w:t>Conclusion</w:t>
      </w:r>
    </w:p>
    <w:p>
      <w:pPr>
        <w:rPr>
          <w:lang w:eastAsia="ko-KR"/>
        </w:rPr>
      </w:pPr>
      <w:r>
        <w:rPr>
          <w:lang w:eastAsia="ko-KR"/>
        </w:rPr>
        <w:t>We propose the following observations and proposals:</w:t>
      </w:r>
    </w:p>
    <w:p>
      <w:pPr>
        <w:pStyle w:val="108"/>
        <w:numPr>
          <w:ilvl w:val="0"/>
          <w:numId w:val="15"/>
        </w:numPr>
        <w:rPr>
          <w:rFonts w:ascii="Times New Roman" w:hAnsi="Times New Roman" w:cs="Times New Roman"/>
          <w:b/>
          <w:sz w:val="20"/>
          <w:szCs w:val="20"/>
        </w:rPr>
      </w:pPr>
      <w:r>
        <w:rPr>
          <w:rFonts w:hint="eastAsia" w:ascii="Times New Roman" w:hAnsi="Times New Roman" w:cs="Times New Roman"/>
          <w:b/>
          <w:sz w:val="20"/>
          <w:szCs w:val="20"/>
        </w:rPr>
        <w:t xml:space="preserve">Wait for the conclusion of the Redcap WI before beginning discussions on the impact of extending eDRX cycle for LPHAP. </w:t>
      </w:r>
    </w:p>
    <w:p>
      <w:pPr>
        <w:pStyle w:val="108"/>
        <w:numPr>
          <w:ilvl w:val="0"/>
          <w:numId w:val="15"/>
        </w:numPr>
        <w:rPr>
          <w:rFonts w:ascii="Times New Roman" w:hAnsi="Times New Roman" w:cs="Times New Roman"/>
          <w:b/>
          <w:sz w:val="20"/>
          <w:szCs w:val="20"/>
        </w:rPr>
      </w:pPr>
      <w:r>
        <w:rPr>
          <w:rFonts w:ascii="Times New Roman" w:hAnsi="Times New Roman" w:cs="Times New Roman"/>
          <w:b/>
          <w:sz w:val="20"/>
          <w:szCs w:val="20"/>
        </w:rPr>
        <w:t>Support SRS pre-configuration based on SRS positioning validity area to avoid frequent RRC connection for SRS (re)configuration.</w:t>
      </w:r>
    </w:p>
    <w:p>
      <w:pPr>
        <w:pStyle w:val="108"/>
        <w:numPr>
          <w:ilvl w:val="0"/>
          <w:numId w:val="15"/>
        </w:numPr>
        <w:rPr>
          <w:rFonts w:ascii="Times New Roman" w:hAnsi="Times New Roman" w:cs="Times New Roman"/>
          <w:b/>
          <w:sz w:val="20"/>
          <w:szCs w:val="20"/>
        </w:rPr>
      </w:pPr>
      <w:r>
        <w:rPr>
          <w:rFonts w:hint="eastAsia" w:ascii="Times New Roman" w:hAnsi="Times New Roman" w:cs="Times New Roman"/>
          <w:b/>
          <w:sz w:val="20"/>
          <w:szCs w:val="20"/>
        </w:rPr>
        <w:t>RAN3 should discuss whether the procedure used to collect multiple SRS configurations is a new procedure or an existing procedure. The details of SRS configuration parameters is pending RAN1 and RAN2.</w:t>
      </w:r>
    </w:p>
    <w:p>
      <w:pPr>
        <w:pStyle w:val="108"/>
        <w:numPr>
          <w:ilvl w:val="0"/>
          <w:numId w:val="15"/>
        </w:numPr>
        <w:rPr>
          <w:rFonts w:ascii="Times New Roman" w:hAnsi="Times New Roman" w:cs="Times New Roman"/>
          <w:b/>
          <w:sz w:val="20"/>
          <w:szCs w:val="20"/>
        </w:rPr>
      </w:pPr>
      <w:r>
        <w:rPr>
          <w:rFonts w:ascii="Times New Roman" w:hAnsi="Times New Roman" w:eastAsia="宋体" w:cs="Times New Roman"/>
          <w:b/>
          <w:sz w:val="20"/>
          <w:szCs w:val="20"/>
          <w:lang w:bidi="ar"/>
        </w:rPr>
        <w:t>The Positioning Information Exchange procedure can be reused to c</w:t>
      </w:r>
      <w:r>
        <w:rPr>
          <w:rFonts w:hint="eastAsia" w:ascii="Times New Roman" w:hAnsi="Times New Roman" w:cs="Times New Roman"/>
          <w:b/>
          <w:sz w:val="20"/>
          <w:szCs w:val="20"/>
        </w:rPr>
        <w:t>ollect multiple SRS configurations</w:t>
      </w:r>
      <w:r>
        <w:rPr>
          <w:rFonts w:ascii="Times New Roman" w:hAnsi="Times New Roman" w:cs="Times New Roman"/>
          <w:b/>
          <w:sz w:val="20"/>
          <w:szCs w:val="20"/>
        </w:rPr>
        <w:t>. In particular, each SRS configuration is associated with the cell identity</w:t>
      </w:r>
      <w:r>
        <w:rPr>
          <w:rFonts w:ascii="Times New Roman" w:hAnsi="Times New Roman" w:eastAsia="宋体" w:cs="Times New Roman"/>
          <w:b/>
          <w:sz w:val="20"/>
          <w:szCs w:val="20"/>
          <w:lang w:bidi="ar"/>
        </w:rPr>
        <w:t>.</w:t>
      </w:r>
    </w:p>
    <w:p>
      <w:pPr>
        <w:pStyle w:val="108"/>
        <w:numPr>
          <w:ilvl w:val="0"/>
          <w:numId w:val="15"/>
        </w:numPr>
        <w:rPr>
          <w:rFonts w:ascii="Times New Roman" w:hAnsi="Times New Roman" w:cs="Times New Roman"/>
          <w:b/>
          <w:sz w:val="20"/>
          <w:szCs w:val="20"/>
        </w:rPr>
      </w:pPr>
      <w:r>
        <w:rPr>
          <w:rFonts w:ascii="Times New Roman" w:hAnsi="Times New Roman" w:cs="Times New Roman"/>
          <w:b/>
          <w:sz w:val="20"/>
          <w:szCs w:val="20"/>
        </w:rPr>
        <w:t>RAN3 should discuss whether to r</w:t>
      </w:r>
      <w:r>
        <w:rPr>
          <w:rFonts w:hint="eastAsia" w:ascii="Times New Roman" w:hAnsi="Times New Roman" w:cs="Times New Roman"/>
          <w:b/>
          <w:sz w:val="20"/>
          <w:szCs w:val="20"/>
        </w:rPr>
        <w:t>euse the</w:t>
      </w:r>
      <w:r>
        <w:rPr>
          <w:rFonts w:ascii="Times New Roman" w:hAnsi="Times New Roman" w:cs="Times New Roman"/>
          <w:b/>
          <w:sz w:val="20"/>
          <w:szCs w:val="20"/>
        </w:rPr>
        <w:t xml:space="preserve"> existing procedure or an existing procedure</w:t>
      </w:r>
      <w:r>
        <w:rPr>
          <w:rFonts w:hint="eastAsia" w:ascii="Times New Roman" w:hAnsi="Times New Roman" w:cs="Times New Roman"/>
          <w:b/>
          <w:sz w:val="20"/>
          <w:szCs w:val="20"/>
        </w:rPr>
        <w:t xml:space="preserve"> to </w:t>
      </w:r>
      <w:r>
        <w:rPr>
          <w:rFonts w:ascii="Times New Roman" w:hAnsi="Times New Roman" w:cs="Times New Roman"/>
          <w:b/>
          <w:sz w:val="20"/>
          <w:szCs w:val="20"/>
        </w:rPr>
        <w:t>inform</w:t>
      </w:r>
      <w:r>
        <w:rPr>
          <w:rFonts w:hint="eastAsia" w:ascii="Times New Roman" w:hAnsi="Times New Roman" w:cs="Times New Roman"/>
          <w:b/>
          <w:sz w:val="20"/>
          <w:szCs w:val="20"/>
        </w:rPr>
        <w:t xml:space="preserve"> multiple SRS configurations to serving gNB. </w:t>
      </w:r>
    </w:p>
    <w:p>
      <w:pPr>
        <w:pStyle w:val="108"/>
        <w:numPr>
          <w:ilvl w:val="0"/>
          <w:numId w:val="15"/>
        </w:numPr>
        <w:rPr>
          <w:rFonts w:ascii="Times New Roman" w:hAnsi="Times New Roman" w:cs="Times New Roman"/>
          <w:b/>
          <w:sz w:val="20"/>
          <w:szCs w:val="20"/>
        </w:rPr>
      </w:pPr>
      <w:r>
        <w:rPr>
          <w:rFonts w:ascii="Times New Roman" w:hAnsi="Times New Roman" w:eastAsia="宋体" w:cs="Times New Roman"/>
          <w:b/>
          <w:sz w:val="20"/>
          <w:szCs w:val="20"/>
          <w:lang w:bidi="ar"/>
        </w:rPr>
        <w:t xml:space="preserve">The new NRPPa SRS Preconfiguration Exchange procedure can be introduced to </w:t>
      </w:r>
      <w:r>
        <w:rPr>
          <w:rFonts w:ascii="Times New Roman" w:hAnsi="Times New Roman" w:cs="Times New Roman"/>
          <w:b/>
          <w:sz w:val="20"/>
          <w:szCs w:val="20"/>
        </w:rPr>
        <w:t>inform</w:t>
      </w:r>
      <w:r>
        <w:rPr>
          <w:rFonts w:hint="eastAsia" w:ascii="Times New Roman" w:hAnsi="Times New Roman" w:cs="Times New Roman"/>
          <w:b/>
          <w:sz w:val="20"/>
          <w:szCs w:val="20"/>
        </w:rPr>
        <w:t xml:space="preserve"> multiple SRS configurations f</w:t>
      </w:r>
      <w:r>
        <w:rPr>
          <w:rFonts w:ascii="Times New Roman" w:hAnsi="Times New Roman" w:cs="Times New Roman"/>
          <w:b/>
          <w:sz w:val="20"/>
          <w:szCs w:val="20"/>
        </w:rPr>
        <w:t xml:space="preserve">rom LMF </w:t>
      </w:r>
      <w:r>
        <w:rPr>
          <w:rFonts w:hint="eastAsia" w:ascii="Times New Roman" w:hAnsi="Times New Roman" w:cs="Times New Roman"/>
          <w:b/>
          <w:sz w:val="20"/>
          <w:szCs w:val="20"/>
        </w:rPr>
        <w:t>to serving gNB.</w:t>
      </w:r>
    </w:p>
    <w:p>
      <w:pPr>
        <w:pStyle w:val="108"/>
        <w:numPr>
          <w:ilvl w:val="0"/>
          <w:numId w:val="15"/>
        </w:numPr>
        <w:rPr>
          <w:rFonts w:ascii="Times New Roman" w:hAnsi="Times New Roman" w:cs="Times New Roman"/>
          <w:b/>
          <w:sz w:val="20"/>
          <w:szCs w:val="20"/>
        </w:rPr>
      </w:pPr>
      <w:r>
        <w:rPr>
          <w:rFonts w:hint="eastAsia" w:ascii="Times New Roman" w:hAnsi="Times New Roman" w:cs="Times New Roman"/>
          <w:b/>
          <w:sz w:val="20"/>
          <w:szCs w:val="20"/>
        </w:rPr>
        <w:t>Reuse the legacy procedure to retrieve requested SRS characteristics from the last serving gNB in the case that the UE reselects out of the positioning validity area during SRS transmission.</w:t>
      </w:r>
    </w:p>
    <w:p>
      <w:pPr>
        <w:pStyle w:val="108"/>
        <w:numPr>
          <w:ilvl w:val="0"/>
          <w:numId w:val="15"/>
        </w:numPr>
        <w:rPr>
          <w:rFonts w:ascii="Times New Roman" w:hAnsi="Times New Roman" w:cs="Times New Roman"/>
          <w:b/>
          <w:sz w:val="20"/>
          <w:szCs w:val="20"/>
        </w:rPr>
      </w:pPr>
      <w:r>
        <w:rPr>
          <w:rFonts w:hint="eastAsia" w:ascii="Times New Roman" w:hAnsi="Times New Roman" w:cs="Times New Roman"/>
          <w:b/>
          <w:sz w:val="20"/>
          <w:szCs w:val="20"/>
        </w:rPr>
        <w:t>The serving gNB should tell LMF the change of SRS configuration after the serving gNB configure UL SRS resource based on the request SRS characteristics from the last serving gNB.</w:t>
      </w:r>
    </w:p>
    <w:p>
      <w:pPr>
        <w:pStyle w:val="108"/>
        <w:numPr>
          <w:ilvl w:val="0"/>
          <w:numId w:val="15"/>
        </w:numPr>
        <w:rPr>
          <w:rFonts w:ascii="Times New Roman" w:hAnsi="Times New Roman" w:cs="Times New Roman"/>
          <w:b/>
          <w:sz w:val="20"/>
          <w:szCs w:val="20"/>
        </w:rPr>
      </w:pPr>
      <w:r>
        <w:rPr>
          <w:rFonts w:hint="eastAsia" w:ascii="Times New Roman" w:hAnsi="Times New Roman" w:cs="Times New Roman"/>
          <w:b/>
          <w:sz w:val="20"/>
          <w:szCs w:val="20"/>
        </w:rPr>
        <w:t>Send the reply LS to RAN2 including above information.</w:t>
      </w:r>
    </w:p>
    <w:p>
      <w:pPr>
        <w:pStyle w:val="2"/>
        <w:numPr>
          <w:ilvl w:val="0"/>
          <w:numId w:val="0"/>
        </w:numPr>
        <w:ind w:left="420" w:hanging="420"/>
        <w:rPr>
          <w:lang w:val="en-US"/>
        </w:rPr>
      </w:pPr>
      <w:r>
        <w:rPr>
          <w:lang w:val="en-US"/>
        </w:rPr>
        <w:t>References</w:t>
      </w:r>
    </w:p>
    <w:p>
      <w:pPr>
        <w:numPr>
          <w:ilvl w:val="0"/>
          <w:numId w:val="16"/>
        </w:numPr>
        <w:rPr>
          <w:rFonts w:ascii="Times New Roman" w:hAnsi="Times New Roman" w:cs="Times New Roman"/>
          <w:lang w:bidi="ar"/>
        </w:rPr>
      </w:pPr>
      <w:bookmarkStart w:id="2" w:name="_Ref78932497"/>
      <w:bookmarkStart w:id="3" w:name="_Ref78919169"/>
      <w:r>
        <w:rPr>
          <w:rFonts w:ascii="Times New Roman" w:hAnsi="Times New Roman" w:eastAsia="宋体" w:cs="Times New Roman"/>
          <w:sz w:val="20"/>
          <w:szCs w:val="20"/>
          <w:lang w:eastAsia="en-US" w:bidi="ar"/>
        </w:rPr>
        <w:t>RP-2</w:t>
      </w:r>
      <w:r>
        <w:rPr>
          <w:rFonts w:ascii="Times New Roman" w:hAnsi="Times New Roman" w:eastAsia="宋体" w:cs="Times New Roman"/>
          <w:sz w:val="20"/>
          <w:szCs w:val="20"/>
          <w:lang w:bidi="ar"/>
        </w:rPr>
        <w:t>23549,</w:t>
      </w:r>
      <w:r>
        <w:rPr>
          <w:rFonts w:ascii="Times New Roman" w:hAnsi="Times New Roman" w:eastAsia="宋体" w:cs="Times New Roman"/>
          <w:sz w:val="20"/>
          <w:szCs w:val="20"/>
          <w:lang w:eastAsia="en-US" w:bidi="ar"/>
        </w:rPr>
        <w:t xml:space="preserve"> New WID on Expanded and Improved NR Positioning</w:t>
      </w:r>
    </w:p>
    <w:p>
      <w:pPr>
        <w:numPr>
          <w:ilvl w:val="0"/>
          <w:numId w:val="16"/>
        </w:numPr>
        <w:rPr>
          <w:rFonts w:ascii="Times New Roman" w:hAnsi="Times New Roman" w:cs="Times New Roman"/>
          <w:lang w:bidi="ar"/>
        </w:rPr>
      </w:pPr>
      <w:r>
        <w:rPr>
          <w:rFonts w:ascii="Times New Roman" w:hAnsi="Times New Roman" w:cs="Times New Roman"/>
          <w:sz w:val="20"/>
          <w:szCs w:val="20"/>
          <w:lang w:bidi="ar"/>
        </w:rPr>
        <w:t>R2-2302278, LS on SRS configuration request, RAN2</w:t>
      </w:r>
    </w:p>
    <w:bookmarkEnd w:id="2"/>
    <w:bookmarkEnd w:id="3"/>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TimesNewRomanPSMT">
    <w:altName w:val="等线"/>
    <w:panose1 w:val="00000000000000000000"/>
    <w:charset w:val="86"/>
    <w:family w:val="auto"/>
    <w:pitch w:val="default"/>
    <w:sig w:usb0="00000000" w:usb1="00000000" w:usb2="00000010" w:usb3="00000000" w:csb0="0004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Arial-BoldMT">
    <w:altName w:val="Arial"/>
    <w:panose1 w:val="00000000000000000000"/>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pStyle w:val="3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2BFE37"/>
    <w:multiLevelType w:val="singleLevel"/>
    <w:tmpl w:val="852BFE37"/>
    <w:lvl w:ilvl="0" w:tentative="0">
      <w:start w:val="1"/>
      <w:numFmt w:val="bullet"/>
      <w:lvlText w:val=""/>
      <w:lvlJc w:val="left"/>
      <w:pPr>
        <w:ind w:left="420" w:hanging="420"/>
      </w:pPr>
      <w:rPr>
        <w:rFonts w:hint="default" w:ascii="Wingdings" w:hAnsi="Wingdings"/>
      </w:rPr>
    </w:lvl>
  </w:abstractNum>
  <w:abstractNum w:abstractNumId="1">
    <w:nsid w:val="99BE3047"/>
    <w:multiLevelType w:val="multilevel"/>
    <w:tmpl w:val="99BE304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C7A8F7BB"/>
    <w:multiLevelType w:val="multilevel"/>
    <w:tmpl w:val="C7A8F7BB"/>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9"/>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F596F2F"/>
    <w:multiLevelType w:val="multilevel"/>
    <w:tmpl w:val="1F596F2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262F24D9"/>
    <w:multiLevelType w:val="multilevel"/>
    <w:tmpl w:val="262F24D9"/>
    <w:lvl w:ilvl="0" w:tentative="0">
      <w:start w:val="1"/>
      <w:numFmt w:val="decimal"/>
      <w:lvlText w:val="Proposal %1:"/>
      <w:lvlJc w:val="left"/>
      <w:pPr>
        <w:ind w:left="420" w:hanging="420"/>
      </w:pPr>
      <w:rPr>
        <w:rFonts w:hint="default" w:ascii="Times New Roman" w:hAnsi="Times New Roman"/>
        <w:b/>
        <w:i w:val="0"/>
        <w:spacing w:val="0"/>
        <w:position w:val="0"/>
        <w:sz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9EB4FCA"/>
    <w:multiLevelType w:val="multilevel"/>
    <w:tmpl w:val="29EB4FCA"/>
    <w:lvl w:ilvl="0" w:tentative="0">
      <w:start w:val="1"/>
      <w:numFmt w:val="decimal"/>
      <w:lvlText w:val="Proposal %1:"/>
      <w:lvlJc w:val="left"/>
      <w:pPr>
        <w:ind w:left="420" w:hanging="420"/>
      </w:pPr>
      <w:rPr>
        <w:rFonts w:hint="default" w:ascii="Times New Roman" w:hAnsi="Times New Roman"/>
        <w:b/>
        <w:i w:val="0"/>
        <w:spacing w:val="0"/>
        <w:position w:val="0"/>
        <w:sz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A877D64"/>
    <w:multiLevelType w:val="multilevel"/>
    <w:tmpl w:val="3A877D64"/>
    <w:lvl w:ilvl="0" w:tentative="0">
      <w:start w:val="1"/>
      <w:numFmt w:val="decimal"/>
      <w:pStyle w:val="130"/>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45E05BD5"/>
    <w:multiLevelType w:val="multilevel"/>
    <w:tmpl w:val="45E05BD5"/>
    <w:lvl w:ilvl="0" w:tentative="0">
      <w:start w:val="1"/>
      <w:numFmt w:val="decimal"/>
      <w:pStyle w:val="13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BDF65F6"/>
    <w:multiLevelType w:val="multilevel"/>
    <w:tmpl w:val="4BDF65F6"/>
    <w:lvl w:ilvl="0" w:tentative="0">
      <w:start w:val="1"/>
      <w:numFmt w:val="decimal"/>
      <w:pStyle w:val="1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521F44A7"/>
    <w:multiLevelType w:val="multilevel"/>
    <w:tmpl w:val="521F44A7"/>
    <w:lvl w:ilvl="0" w:tentative="0">
      <w:start w:val="1"/>
      <w:numFmt w:val="bullet"/>
      <w:pStyle w:val="11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52CA544A"/>
    <w:multiLevelType w:val="multilevel"/>
    <w:tmpl w:val="52CA544A"/>
    <w:lvl w:ilvl="0" w:tentative="0">
      <w:start w:val="1"/>
      <w:numFmt w:val="decimal"/>
      <w:pStyle w:val="10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1260"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549A69FD"/>
    <w:multiLevelType w:val="multilevel"/>
    <w:tmpl w:val="549A69FD"/>
    <w:lvl w:ilvl="0" w:tentative="0">
      <w:start w:val="5"/>
      <w:numFmt w:val="decimal"/>
      <w:pStyle w:val="16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5">
    <w:nsid w:val="762461ED"/>
    <w:multiLevelType w:val="singleLevel"/>
    <w:tmpl w:val="762461ED"/>
    <w:lvl w:ilvl="0" w:tentative="0">
      <w:start w:val="1"/>
      <w:numFmt w:val="decimal"/>
      <w:suff w:val="space"/>
      <w:lvlText w:val="[%1]"/>
      <w:lvlJc w:val="left"/>
    </w:lvl>
  </w:abstractNum>
  <w:num w:numId="1">
    <w:abstractNumId w:val="13"/>
  </w:num>
  <w:num w:numId="2">
    <w:abstractNumId w:val="3"/>
  </w:num>
  <w:num w:numId="3">
    <w:abstractNumId w:val="12"/>
  </w:num>
  <w:num w:numId="4">
    <w:abstractNumId w:val="11"/>
  </w:num>
  <w:num w:numId="5">
    <w:abstractNumId w:val="4"/>
  </w:num>
  <w:num w:numId="6">
    <w:abstractNumId w:val="8"/>
  </w:num>
  <w:num w:numId="7">
    <w:abstractNumId w:val="10"/>
  </w:num>
  <w:num w:numId="8">
    <w:abstractNumId w:val="9"/>
  </w:num>
  <w:num w:numId="9">
    <w:abstractNumId w:val="14"/>
  </w:num>
  <w:num w:numId="10">
    <w:abstractNumId w:val="2"/>
  </w:num>
  <w:num w:numId="11">
    <w:abstractNumId w:val="6"/>
  </w:num>
  <w:num w:numId="12">
    <w:abstractNumId w:val="5"/>
  </w:num>
  <w:num w:numId="13">
    <w:abstractNumId w:val="1"/>
  </w:num>
  <w:num w:numId="14">
    <w:abstractNumId w:val="0"/>
  </w:num>
  <w:num w:numId="15">
    <w:abstractNumId w:val="7"/>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715"/>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7F5"/>
    <w:rsid w:val="00007893"/>
    <w:rsid w:val="00007DF5"/>
    <w:rsid w:val="00007F75"/>
    <w:rsid w:val="000104B2"/>
    <w:rsid w:val="000104F4"/>
    <w:rsid w:val="00010581"/>
    <w:rsid w:val="00010B49"/>
    <w:rsid w:val="00010BFA"/>
    <w:rsid w:val="00010D5E"/>
    <w:rsid w:val="0001120F"/>
    <w:rsid w:val="00011396"/>
    <w:rsid w:val="000113E5"/>
    <w:rsid w:val="00011604"/>
    <w:rsid w:val="000116A1"/>
    <w:rsid w:val="000116ED"/>
    <w:rsid w:val="00011991"/>
    <w:rsid w:val="00011B4E"/>
    <w:rsid w:val="00011B4F"/>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9D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82E"/>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85F"/>
    <w:rsid w:val="00021A1C"/>
    <w:rsid w:val="00021D3F"/>
    <w:rsid w:val="00021E1C"/>
    <w:rsid w:val="0002220C"/>
    <w:rsid w:val="000222B7"/>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2FD"/>
    <w:rsid w:val="000265BA"/>
    <w:rsid w:val="00026646"/>
    <w:rsid w:val="000266F8"/>
    <w:rsid w:val="000267D1"/>
    <w:rsid w:val="00026940"/>
    <w:rsid w:val="00027174"/>
    <w:rsid w:val="0002720C"/>
    <w:rsid w:val="000272F2"/>
    <w:rsid w:val="000275D2"/>
    <w:rsid w:val="0002775C"/>
    <w:rsid w:val="0002780C"/>
    <w:rsid w:val="00027822"/>
    <w:rsid w:val="000279CC"/>
    <w:rsid w:val="00027AB3"/>
    <w:rsid w:val="00027AF3"/>
    <w:rsid w:val="00027E5D"/>
    <w:rsid w:val="00027F9A"/>
    <w:rsid w:val="000302BC"/>
    <w:rsid w:val="0003038B"/>
    <w:rsid w:val="000305C5"/>
    <w:rsid w:val="000305FE"/>
    <w:rsid w:val="00030677"/>
    <w:rsid w:val="00030777"/>
    <w:rsid w:val="000309F9"/>
    <w:rsid w:val="00030A4E"/>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95"/>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A"/>
    <w:rsid w:val="000419CF"/>
    <w:rsid w:val="000419E7"/>
    <w:rsid w:val="000419F8"/>
    <w:rsid w:val="00041B56"/>
    <w:rsid w:val="00041C3F"/>
    <w:rsid w:val="00041C9A"/>
    <w:rsid w:val="00041D02"/>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498"/>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484"/>
    <w:rsid w:val="00062557"/>
    <w:rsid w:val="00062579"/>
    <w:rsid w:val="00062AE4"/>
    <w:rsid w:val="00062C44"/>
    <w:rsid w:val="00062DBA"/>
    <w:rsid w:val="00062E66"/>
    <w:rsid w:val="00063077"/>
    <w:rsid w:val="000631B1"/>
    <w:rsid w:val="000634A7"/>
    <w:rsid w:val="000638CF"/>
    <w:rsid w:val="00063AE5"/>
    <w:rsid w:val="00063D9E"/>
    <w:rsid w:val="0006400B"/>
    <w:rsid w:val="000641A5"/>
    <w:rsid w:val="000646F7"/>
    <w:rsid w:val="00064718"/>
    <w:rsid w:val="000649F5"/>
    <w:rsid w:val="00064AD2"/>
    <w:rsid w:val="00064AD3"/>
    <w:rsid w:val="00064E7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1F51"/>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833"/>
    <w:rsid w:val="000779D0"/>
    <w:rsid w:val="00077A1F"/>
    <w:rsid w:val="00077C20"/>
    <w:rsid w:val="00077EA2"/>
    <w:rsid w:val="00080260"/>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AED"/>
    <w:rsid w:val="00085CA3"/>
    <w:rsid w:val="00086017"/>
    <w:rsid w:val="00086311"/>
    <w:rsid w:val="00086A26"/>
    <w:rsid w:val="00086D6A"/>
    <w:rsid w:val="0008757D"/>
    <w:rsid w:val="0008793F"/>
    <w:rsid w:val="00087AA5"/>
    <w:rsid w:val="00087AFF"/>
    <w:rsid w:val="00087B16"/>
    <w:rsid w:val="00087C87"/>
    <w:rsid w:val="00087E9A"/>
    <w:rsid w:val="00087EC8"/>
    <w:rsid w:val="00087EE1"/>
    <w:rsid w:val="00090243"/>
    <w:rsid w:val="000902CA"/>
    <w:rsid w:val="0009043F"/>
    <w:rsid w:val="0009045F"/>
    <w:rsid w:val="0009065C"/>
    <w:rsid w:val="00090688"/>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D41"/>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196"/>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58"/>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4AA"/>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513"/>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03A"/>
    <w:rsid w:val="000C517C"/>
    <w:rsid w:val="000C520A"/>
    <w:rsid w:val="000C53B4"/>
    <w:rsid w:val="000C56D6"/>
    <w:rsid w:val="000C5818"/>
    <w:rsid w:val="000C583D"/>
    <w:rsid w:val="000C59F0"/>
    <w:rsid w:val="000C5B11"/>
    <w:rsid w:val="000C5FAB"/>
    <w:rsid w:val="000C5FB2"/>
    <w:rsid w:val="000C626C"/>
    <w:rsid w:val="000C6401"/>
    <w:rsid w:val="000C646D"/>
    <w:rsid w:val="000C66C0"/>
    <w:rsid w:val="000C6B35"/>
    <w:rsid w:val="000C6D21"/>
    <w:rsid w:val="000C6FAA"/>
    <w:rsid w:val="000C713B"/>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1AD"/>
    <w:rsid w:val="000E541D"/>
    <w:rsid w:val="000E56F9"/>
    <w:rsid w:val="000E5710"/>
    <w:rsid w:val="000E5804"/>
    <w:rsid w:val="000E58D0"/>
    <w:rsid w:val="000E596F"/>
    <w:rsid w:val="000E5AA7"/>
    <w:rsid w:val="000E5C9B"/>
    <w:rsid w:val="000E5D16"/>
    <w:rsid w:val="000E5DF9"/>
    <w:rsid w:val="000E6088"/>
    <w:rsid w:val="000E639D"/>
    <w:rsid w:val="000E63F5"/>
    <w:rsid w:val="000E676E"/>
    <w:rsid w:val="000E6BEC"/>
    <w:rsid w:val="000E6E18"/>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310"/>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6"/>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AC"/>
    <w:rsid w:val="000F7DFD"/>
    <w:rsid w:val="000F7FB8"/>
    <w:rsid w:val="0010007F"/>
    <w:rsid w:val="00100372"/>
    <w:rsid w:val="001005B6"/>
    <w:rsid w:val="00100697"/>
    <w:rsid w:val="00100A1F"/>
    <w:rsid w:val="00100F0A"/>
    <w:rsid w:val="001011D9"/>
    <w:rsid w:val="001017F6"/>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BBB"/>
    <w:rsid w:val="00104C3B"/>
    <w:rsid w:val="00104D19"/>
    <w:rsid w:val="00105173"/>
    <w:rsid w:val="001052A1"/>
    <w:rsid w:val="0010540A"/>
    <w:rsid w:val="00105648"/>
    <w:rsid w:val="00105709"/>
    <w:rsid w:val="00105746"/>
    <w:rsid w:val="001057FD"/>
    <w:rsid w:val="001058B3"/>
    <w:rsid w:val="00105906"/>
    <w:rsid w:val="0010593D"/>
    <w:rsid w:val="00105949"/>
    <w:rsid w:val="00105B98"/>
    <w:rsid w:val="00105BA1"/>
    <w:rsid w:val="00105BA6"/>
    <w:rsid w:val="00105D08"/>
    <w:rsid w:val="00105D7C"/>
    <w:rsid w:val="00105EA1"/>
    <w:rsid w:val="00105F75"/>
    <w:rsid w:val="0010606D"/>
    <w:rsid w:val="001060F5"/>
    <w:rsid w:val="001062D7"/>
    <w:rsid w:val="00106893"/>
    <w:rsid w:val="00106990"/>
    <w:rsid w:val="00106BD7"/>
    <w:rsid w:val="00106CF5"/>
    <w:rsid w:val="00106D69"/>
    <w:rsid w:val="00106D72"/>
    <w:rsid w:val="00106E1A"/>
    <w:rsid w:val="00106F7C"/>
    <w:rsid w:val="001070DF"/>
    <w:rsid w:val="001070F8"/>
    <w:rsid w:val="0010731C"/>
    <w:rsid w:val="00107452"/>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681"/>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3D9"/>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C6"/>
    <w:rsid w:val="00123373"/>
    <w:rsid w:val="00123891"/>
    <w:rsid w:val="00123B5B"/>
    <w:rsid w:val="00123C33"/>
    <w:rsid w:val="00123C3C"/>
    <w:rsid w:val="00123C9F"/>
    <w:rsid w:val="00123DE2"/>
    <w:rsid w:val="00124585"/>
    <w:rsid w:val="001247E1"/>
    <w:rsid w:val="00124997"/>
    <w:rsid w:val="001249F5"/>
    <w:rsid w:val="00124A46"/>
    <w:rsid w:val="00124B42"/>
    <w:rsid w:val="00124E69"/>
    <w:rsid w:val="001250D6"/>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5CD"/>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03"/>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2C3"/>
    <w:rsid w:val="00147366"/>
    <w:rsid w:val="00147416"/>
    <w:rsid w:val="00147431"/>
    <w:rsid w:val="0014744D"/>
    <w:rsid w:val="0014751F"/>
    <w:rsid w:val="00147833"/>
    <w:rsid w:val="00147B22"/>
    <w:rsid w:val="00147C3C"/>
    <w:rsid w:val="00147F07"/>
    <w:rsid w:val="0015008B"/>
    <w:rsid w:val="001501D7"/>
    <w:rsid w:val="001502A8"/>
    <w:rsid w:val="00150357"/>
    <w:rsid w:val="001503DF"/>
    <w:rsid w:val="00150546"/>
    <w:rsid w:val="0015085E"/>
    <w:rsid w:val="00150887"/>
    <w:rsid w:val="00150918"/>
    <w:rsid w:val="00150AF4"/>
    <w:rsid w:val="00150B21"/>
    <w:rsid w:val="00150B3A"/>
    <w:rsid w:val="00150BEE"/>
    <w:rsid w:val="00150C2D"/>
    <w:rsid w:val="00150D2A"/>
    <w:rsid w:val="00151054"/>
    <w:rsid w:val="00151360"/>
    <w:rsid w:val="00151408"/>
    <w:rsid w:val="001515C0"/>
    <w:rsid w:val="001516B1"/>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69D"/>
    <w:rsid w:val="001638CE"/>
    <w:rsid w:val="00163A45"/>
    <w:rsid w:val="00163AD2"/>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1DC"/>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48"/>
    <w:rsid w:val="00171AB7"/>
    <w:rsid w:val="00171AF1"/>
    <w:rsid w:val="00172187"/>
    <w:rsid w:val="00172748"/>
    <w:rsid w:val="00172751"/>
    <w:rsid w:val="001727C3"/>
    <w:rsid w:val="00172A27"/>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047"/>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12"/>
    <w:rsid w:val="00185D7D"/>
    <w:rsid w:val="0018605C"/>
    <w:rsid w:val="001862FE"/>
    <w:rsid w:val="00186379"/>
    <w:rsid w:val="00186404"/>
    <w:rsid w:val="00186475"/>
    <w:rsid w:val="0018648C"/>
    <w:rsid w:val="001865A4"/>
    <w:rsid w:val="00186816"/>
    <w:rsid w:val="001869ED"/>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4B1"/>
    <w:rsid w:val="001A09F7"/>
    <w:rsid w:val="001A0A05"/>
    <w:rsid w:val="001A0AD0"/>
    <w:rsid w:val="001A0DD3"/>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953"/>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EC"/>
    <w:rsid w:val="001A5AD9"/>
    <w:rsid w:val="001A5CE1"/>
    <w:rsid w:val="001A5D78"/>
    <w:rsid w:val="001A61B9"/>
    <w:rsid w:val="001A61C8"/>
    <w:rsid w:val="001A62C7"/>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B6B"/>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34"/>
    <w:rsid w:val="001B38E5"/>
    <w:rsid w:val="001B3AB9"/>
    <w:rsid w:val="001B3E74"/>
    <w:rsid w:val="001B46E6"/>
    <w:rsid w:val="001B4BCE"/>
    <w:rsid w:val="001B4C5B"/>
    <w:rsid w:val="001B4D13"/>
    <w:rsid w:val="001B511F"/>
    <w:rsid w:val="001B52E1"/>
    <w:rsid w:val="001B5560"/>
    <w:rsid w:val="001B55D7"/>
    <w:rsid w:val="001B5AA5"/>
    <w:rsid w:val="001B5B36"/>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C7D8E"/>
    <w:rsid w:val="001D04CF"/>
    <w:rsid w:val="001D058C"/>
    <w:rsid w:val="001D09AF"/>
    <w:rsid w:val="001D0CA9"/>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64BC"/>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2D08"/>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915"/>
    <w:rsid w:val="001F1925"/>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31"/>
    <w:rsid w:val="001F5143"/>
    <w:rsid w:val="001F5289"/>
    <w:rsid w:val="001F52AC"/>
    <w:rsid w:val="001F5392"/>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234"/>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D27"/>
    <w:rsid w:val="00204F44"/>
    <w:rsid w:val="00204F8B"/>
    <w:rsid w:val="00205069"/>
    <w:rsid w:val="002054EE"/>
    <w:rsid w:val="00205691"/>
    <w:rsid w:val="0020583E"/>
    <w:rsid w:val="002059C8"/>
    <w:rsid w:val="00205A8C"/>
    <w:rsid w:val="00205B2E"/>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A0B"/>
    <w:rsid w:val="00214DDF"/>
    <w:rsid w:val="00215221"/>
    <w:rsid w:val="00215518"/>
    <w:rsid w:val="002156E3"/>
    <w:rsid w:val="002157F5"/>
    <w:rsid w:val="00215847"/>
    <w:rsid w:val="00215CCC"/>
    <w:rsid w:val="002160CE"/>
    <w:rsid w:val="002161CC"/>
    <w:rsid w:val="002163B6"/>
    <w:rsid w:val="00216557"/>
    <w:rsid w:val="00216877"/>
    <w:rsid w:val="002168CE"/>
    <w:rsid w:val="00216A1E"/>
    <w:rsid w:val="00216E20"/>
    <w:rsid w:val="0021723E"/>
    <w:rsid w:val="0021728B"/>
    <w:rsid w:val="0021786D"/>
    <w:rsid w:val="002202FF"/>
    <w:rsid w:val="00220587"/>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00C"/>
    <w:rsid w:val="00223240"/>
    <w:rsid w:val="00223350"/>
    <w:rsid w:val="0022362E"/>
    <w:rsid w:val="00223AA5"/>
    <w:rsid w:val="00223F57"/>
    <w:rsid w:val="0022400F"/>
    <w:rsid w:val="0022407B"/>
    <w:rsid w:val="00224161"/>
    <w:rsid w:val="00224312"/>
    <w:rsid w:val="002243BC"/>
    <w:rsid w:val="00224438"/>
    <w:rsid w:val="002248C2"/>
    <w:rsid w:val="00224A2C"/>
    <w:rsid w:val="00224AA8"/>
    <w:rsid w:val="00224BD0"/>
    <w:rsid w:val="00224BED"/>
    <w:rsid w:val="00224C93"/>
    <w:rsid w:val="00224CA7"/>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589"/>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7B2"/>
    <w:rsid w:val="0024185F"/>
    <w:rsid w:val="00241AD3"/>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040"/>
    <w:rsid w:val="0024543B"/>
    <w:rsid w:val="0024559A"/>
    <w:rsid w:val="002455CA"/>
    <w:rsid w:val="0024561E"/>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72D"/>
    <w:rsid w:val="00253B68"/>
    <w:rsid w:val="00253C6B"/>
    <w:rsid w:val="00254618"/>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9BA"/>
    <w:rsid w:val="00260AEC"/>
    <w:rsid w:val="00260CF8"/>
    <w:rsid w:val="00260E8E"/>
    <w:rsid w:val="00260F30"/>
    <w:rsid w:val="00260FC5"/>
    <w:rsid w:val="00261077"/>
    <w:rsid w:val="00261152"/>
    <w:rsid w:val="00261155"/>
    <w:rsid w:val="0026138E"/>
    <w:rsid w:val="00261617"/>
    <w:rsid w:val="00261799"/>
    <w:rsid w:val="00261947"/>
    <w:rsid w:val="00261C7E"/>
    <w:rsid w:val="00261E49"/>
    <w:rsid w:val="002624FE"/>
    <w:rsid w:val="0026252B"/>
    <w:rsid w:val="002625EB"/>
    <w:rsid w:val="002628A2"/>
    <w:rsid w:val="002629A2"/>
    <w:rsid w:val="00262AD4"/>
    <w:rsid w:val="00262CA0"/>
    <w:rsid w:val="00262FCB"/>
    <w:rsid w:val="00263317"/>
    <w:rsid w:val="002634DE"/>
    <w:rsid w:val="0026366C"/>
    <w:rsid w:val="002637EB"/>
    <w:rsid w:val="002637F7"/>
    <w:rsid w:val="00263B64"/>
    <w:rsid w:val="00263BFE"/>
    <w:rsid w:val="00263EB9"/>
    <w:rsid w:val="00263F9D"/>
    <w:rsid w:val="00264111"/>
    <w:rsid w:val="00264552"/>
    <w:rsid w:val="00264573"/>
    <w:rsid w:val="00264969"/>
    <w:rsid w:val="00264B01"/>
    <w:rsid w:val="00264F4D"/>
    <w:rsid w:val="00264FFC"/>
    <w:rsid w:val="002652D1"/>
    <w:rsid w:val="0026546D"/>
    <w:rsid w:val="00265475"/>
    <w:rsid w:val="002654F6"/>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C37"/>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CBF"/>
    <w:rsid w:val="002A1D3C"/>
    <w:rsid w:val="002A1EE9"/>
    <w:rsid w:val="002A209C"/>
    <w:rsid w:val="002A236A"/>
    <w:rsid w:val="002A2382"/>
    <w:rsid w:val="002A24AD"/>
    <w:rsid w:val="002A2727"/>
    <w:rsid w:val="002A274F"/>
    <w:rsid w:val="002A2B15"/>
    <w:rsid w:val="002A2BEE"/>
    <w:rsid w:val="002A2D90"/>
    <w:rsid w:val="002A2E58"/>
    <w:rsid w:val="002A2F13"/>
    <w:rsid w:val="002A320D"/>
    <w:rsid w:val="002A352A"/>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E5"/>
    <w:rsid w:val="002A7CD4"/>
    <w:rsid w:val="002A7D0B"/>
    <w:rsid w:val="002B029E"/>
    <w:rsid w:val="002B02B2"/>
    <w:rsid w:val="002B0469"/>
    <w:rsid w:val="002B057D"/>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EB9"/>
    <w:rsid w:val="002B3FBE"/>
    <w:rsid w:val="002B40CD"/>
    <w:rsid w:val="002B4107"/>
    <w:rsid w:val="002B461D"/>
    <w:rsid w:val="002B48F6"/>
    <w:rsid w:val="002B4930"/>
    <w:rsid w:val="002B49AC"/>
    <w:rsid w:val="002B49D1"/>
    <w:rsid w:val="002B4F49"/>
    <w:rsid w:val="002B4F4C"/>
    <w:rsid w:val="002B4F97"/>
    <w:rsid w:val="002B519E"/>
    <w:rsid w:val="002B5409"/>
    <w:rsid w:val="002B55FE"/>
    <w:rsid w:val="002B5837"/>
    <w:rsid w:val="002B59D4"/>
    <w:rsid w:val="002B5A05"/>
    <w:rsid w:val="002B5B9B"/>
    <w:rsid w:val="002B5BA6"/>
    <w:rsid w:val="002B5C53"/>
    <w:rsid w:val="002B5E2A"/>
    <w:rsid w:val="002B6097"/>
    <w:rsid w:val="002B60B8"/>
    <w:rsid w:val="002B637B"/>
    <w:rsid w:val="002B651E"/>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237"/>
    <w:rsid w:val="002C42DB"/>
    <w:rsid w:val="002C4320"/>
    <w:rsid w:val="002C4439"/>
    <w:rsid w:val="002C4902"/>
    <w:rsid w:val="002C494C"/>
    <w:rsid w:val="002C4C2D"/>
    <w:rsid w:val="002C4C80"/>
    <w:rsid w:val="002C4E19"/>
    <w:rsid w:val="002C4E8D"/>
    <w:rsid w:val="002C52A6"/>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B5A"/>
    <w:rsid w:val="002D0DBA"/>
    <w:rsid w:val="002D103B"/>
    <w:rsid w:val="002D124E"/>
    <w:rsid w:val="002D1367"/>
    <w:rsid w:val="002D141F"/>
    <w:rsid w:val="002D1714"/>
    <w:rsid w:val="002D196D"/>
    <w:rsid w:val="002D1BF9"/>
    <w:rsid w:val="002D20B1"/>
    <w:rsid w:val="002D22C1"/>
    <w:rsid w:val="002D23A8"/>
    <w:rsid w:val="002D2506"/>
    <w:rsid w:val="002D270A"/>
    <w:rsid w:val="002D2766"/>
    <w:rsid w:val="002D294E"/>
    <w:rsid w:val="002D2B4D"/>
    <w:rsid w:val="002D2B6B"/>
    <w:rsid w:val="002D2CC1"/>
    <w:rsid w:val="002D31D0"/>
    <w:rsid w:val="002D31D4"/>
    <w:rsid w:val="002D3325"/>
    <w:rsid w:val="002D359D"/>
    <w:rsid w:val="002D361B"/>
    <w:rsid w:val="002D365F"/>
    <w:rsid w:val="002D36EB"/>
    <w:rsid w:val="002D3BE4"/>
    <w:rsid w:val="002D3C1D"/>
    <w:rsid w:val="002D443D"/>
    <w:rsid w:val="002D44BC"/>
    <w:rsid w:val="002D45CC"/>
    <w:rsid w:val="002D46B2"/>
    <w:rsid w:val="002D477E"/>
    <w:rsid w:val="002D4822"/>
    <w:rsid w:val="002D4AF5"/>
    <w:rsid w:val="002D4BD4"/>
    <w:rsid w:val="002D4EC7"/>
    <w:rsid w:val="002D4F4E"/>
    <w:rsid w:val="002D4F9D"/>
    <w:rsid w:val="002D50BD"/>
    <w:rsid w:val="002D5161"/>
    <w:rsid w:val="002D51E5"/>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3EA8"/>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33E"/>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5AB"/>
    <w:rsid w:val="002F6ADB"/>
    <w:rsid w:val="002F6B2A"/>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55D"/>
    <w:rsid w:val="0030269B"/>
    <w:rsid w:val="00302813"/>
    <w:rsid w:val="00302AA2"/>
    <w:rsid w:val="00302AB6"/>
    <w:rsid w:val="00302E3E"/>
    <w:rsid w:val="00302ECF"/>
    <w:rsid w:val="00302F84"/>
    <w:rsid w:val="003032AF"/>
    <w:rsid w:val="003034DE"/>
    <w:rsid w:val="00303692"/>
    <w:rsid w:val="00303760"/>
    <w:rsid w:val="00303860"/>
    <w:rsid w:val="00303940"/>
    <w:rsid w:val="00303965"/>
    <w:rsid w:val="00303B09"/>
    <w:rsid w:val="00303BCA"/>
    <w:rsid w:val="00303C68"/>
    <w:rsid w:val="00303D4D"/>
    <w:rsid w:val="00303DAD"/>
    <w:rsid w:val="00303DFB"/>
    <w:rsid w:val="00303F2C"/>
    <w:rsid w:val="00303F8A"/>
    <w:rsid w:val="00303FB5"/>
    <w:rsid w:val="00303FE0"/>
    <w:rsid w:val="003040B3"/>
    <w:rsid w:val="00304150"/>
    <w:rsid w:val="003043C7"/>
    <w:rsid w:val="003047E4"/>
    <w:rsid w:val="003048AF"/>
    <w:rsid w:val="003048D7"/>
    <w:rsid w:val="003048E1"/>
    <w:rsid w:val="003049E3"/>
    <w:rsid w:val="00304C81"/>
    <w:rsid w:val="00304DC9"/>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72A"/>
    <w:rsid w:val="0030785D"/>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4EC"/>
    <w:rsid w:val="00312506"/>
    <w:rsid w:val="003126D3"/>
    <w:rsid w:val="00312908"/>
    <w:rsid w:val="00312A8E"/>
    <w:rsid w:val="00313203"/>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C24"/>
    <w:rsid w:val="00317E84"/>
    <w:rsid w:val="00317FA5"/>
    <w:rsid w:val="003204B4"/>
    <w:rsid w:val="00320679"/>
    <w:rsid w:val="003209F5"/>
    <w:rsid w:val="00320E3C"/>
    <w:rsid w:val="00320F01"/>
    <w:rsid w:val="00320FF3"/>
    <w:rsid w:val="003214E7"/>
    <w:rsid w:val="0032168F"/>
    <w:rsid w:val="00321BE9"/>
    <w:rsid w:val="00321C64"/>
    <w:rsid w:val="00321C85"/>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7CF"/>
    <w:rsid w:val="0032586B"/>
    <w:rsid w:val="0032588D"/>
    <w:rsid w:val="0032593E"/>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CB0"/>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DEF"/>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4D89"/>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D14"/>
    <w:rsid w:val="00341EEB"/>
    <w:rsid w:val="00342221"/>
    <w:rsid w:val="00342890"/>
    <w:rsid w:val="00342B5F"/>
    <w:rsid w:val="00342B8F"/>
    <w:rsid w:val="00342E03"/>
    <w:rsid w:val="00342E9E"/>
    <w:rsid w:val="0034344A"/>
    <w:rsid w:val="003436B8"/>
    <w:rsid w:val="0034380F"/>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687"/>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133"/>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2F23"/>
    <w:rsid w:val="0035301B"/>
    <w:rsid w:val="0035319C"/>
    <w:rsid w:val="0035328A"/>
    <w:rsid w:val="00353460"/>
    <w:rsid w:val="00353542"/>
    <w:rsid w:val="00353727"/>
    <w:rsid w:val="00353762"/>
    <w:rsid w:val="00353779"/>
    <w:rsid w:val="0035377E"/>
    <w:rsid w:val="00353788"/>
    <w:rsid w:val="00353795"/>
    <w:rsid w:val="003538EF"/>
    <w:rsid w:val="00353902"/>
    <w:rsid w:val="00353A6C"/>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A11"/>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779"/>
    <w:rsid w:val="003677DC"/>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DBE"/>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63D"/>
    <w:rsid w:val="00376A1A"/>
    <w:rsid w:val="00376B07"/>
    <w:rsid w:val="00376C35"/>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05D"/>
    <w:rsid w:val="00382154"/>
    <w:rsid w:val="00382346"/>
    <w:rsid w:val="0038236E"/>
    <w:rsid w:val="00382375"/>
    <w:rsid w:val="0038244D"/>
    <w:rsid w:val="00382ACB"/>
    <w:rsid w:val="00382D1B"/>
    <w:rsid w:val="00382D7A"/>
    <w:rsid w:val="00382D7E"/>
    <w:rsid w:val="00382DC5"/>
    <w:rsid w:val="00382EA4"/>
    <w:rsid w:val="00382F03"/>
    <w:rsid w:val="0038303A"/>
    <w:rsid w:val="003830AD"/>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BDE"/>
    <w:rsid w:val="00395CCA"/>
    <w:rsid w:val="00396162"/>
    <w:rsid w:val="00396207"/>
    <w:rsid w:val="003962A8"/>
    <w:rsid w:val="003965A4"/>
    <w:rsid w:val="00396A09"/>
    <w:rsid w:val="00396C74"/>
    <w:rsid w:val="00396F97"/>
    <w:rsid w:val="00396FFF"/>
    <w:rsid w:val="003971E1"/>
    <w:rsid w:val="0039731D"/>
    <w:rsid w:val="00397443"/>
    <w:rsid w:val="00397465"/>
    <w:rsid w:val="00397572"/>
    <w:rsid w:val="00397573"/>
    <w:rsid w:val="003977F3"/>
    <w:rsid w:val="003978DA"/>
    <w:rsid w:val="00397AF4"/>
    <w:rsid w:val="00397B01"/>
    <w:rsid w:val="00397C14"/>
    <w:rsid w:val="00397C61"/>
    <w:rsid w:val="00397D30"/>
    <w:rsid w:val="00397FA9"/>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3C0"/>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1F7"/>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E72"/>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6EA"/>
    <w:rsid w:val="003C4A26"/>
    <w:rsid w:val="003C4AB3"/>
    <w:rsid w:val="003C4D07"/>
    <w:rsid w:val="003C4D23"/>
    <w:rsid w:val="003C4E10"/>
    <w:rsid w:val="003C4FB3"/>
    <w:rsid w:val="003C4FE4"/>
    <w:rsid w:val="003C503B"/>
    <w:rsid w:val="003C55FA"/>
    <w:rsid w:val="003C59DE"/>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E85"/>
    <w:rsid w:val="003D0EC8"/>
    <w:rsid w:val="003D0F82"/>
    <w:rsid w:val="003D13F7"/>
    <w:rsid w:val="003D1402"/>
    <w:rsid w:val="003D1404"/>
    <w:rsid w:val="003D14A3"/>
    <w:rsid w:val="003D1FF4"/>
    <w:rsid w:val="003D250D"/>
    <w:rsid w:val="003D27EE"/>
    <w:rsid w:val="003D2B81"/>
    <w:rsid w:val="003D2B85"/>
    <w:rsid w:val="003D2BCE"/>
    <w:rsid w:val="003D2C06"/>
    <w:rsid w:val="003D2C17"/>
    <w:rsid w:val="003D2D6B"/>
    <w:rsid w:val="003D2D78"/>
    <w:rsid w:val="003D2FA0"/>
    <w:rsid w:val="003D329C"/>
    <w:rsid w:val="003D33D2"/>
    <w:rsid w:val="003D357D"/>
    <w:rsid w:val="003D37AA"/>
    <w:rsid w:val="003D3906"/>
    <w:rsid w:val="003D39C7"/>
    <w:rsid w:val="003D3A04"/>
    <w:rsid w:val="003D3C90"/>
    <w:rsid w:val="003D3D83"/>
    <w:rsid w:val="003D3E95"/>
    <w:rsid w:val="003D402B"/>
    <w:rsid w:val="003D40A8"/>
    <w:rsid w:val="003D4387"/>
    <w:rsid w:val="003D473A"/>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A3"/>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ED8"/>
    <w:rsid w:val="003E6FD9"/>
    <w:rsid w:val="003E70CC"/>
    <w:rsid w:val="003E71BB"/>
    <w:rsid w:val="003E7346"/>
    <w:rsid w:val="003E74D8"/>
    <w:rsid w:val="003E7583"/>
    <w:rsid w:val="003E769D"/>
    <w:rsid w:val="003E7793"/>
    <w:rsid w:val="003E784D"/>
    <w:rsid w:val="003E78EE"/>
    <w:rsid w:val="003E7A1B"/>
    <w:rsid w:val="003E7A28"/>
    <w:rsid w:val="003E7AB7"/>
    <w:rsid w:val="003E7E37"/>
    <w:rsid w:val="003E7E5B"/>
    <w:rsid w:val="003E7EB7"/>
    <w:rsid w:val="003E7F05"/>
    <w:rsid w:val="003E7F2E"/>
    <w:rsid w:val="003F02CB"/>
    <w:rsid w:val="003F0315"/>
    <w:rsid w:val="003F0418"/>
    <w:rsid w:val="003F047F"/>
    <w:rsid w:val="003F0675"/>
    <w:rsid w:val="003F07C8"/>
    <w:rsid w:val="003F09DF"/>
    <w:rsid w:val="003F1114"/>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235"/>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5A"/>
    <w:rsid w:val="00403787"/>
    <w:rsid w:val="0040379C"/>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C84"/>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7A"/>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5B5"/>
    <w:rsid w:val="004175BF"/>
    <w:rsid w:val="004176C0"/>
    <w:rsid w:val="004176FF"/>
    <w:rsid w:val="00417724"/>
    <w:rsid w:val="004177F3"/>
    <w:rsid w:val="00417883"/>
    <w:rsid w:val="004178EE"/>
    <w:rsid w:val="00417A0A"/>
    <w:rsid w:val="00417AED"/>
    <w:rsid w:val="00417C9E"/>
    <w:rsid w:val="00417DCB"/>
    <w:rsid w:val="0042025A"/>
    <w:rsid w:val="004202F3"/>
    <w:rsid w:val="004203BF"/>
    <w:rsid w:val="0042085D"/>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0"/>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3DF"/>
    <w:rsid w:val="00430479"/>
    <w:rsid w:val="00430BF0"/>
    <w:rsid w:val="00430CDE"/>
    <w:rsid w:val="00430D46"/>
    <w:rsid w:val="00430FD0"/>
    <w:rsid w:val="0043114A"/>
    <w:rsid w:val="004311FA"/>
    <w:rsid w:val="00431201"/>
    <w:rsid w:val="00431216"/>
    <w:rsid w:val="0043122E"/>
    <w:rsid w:val="004312D6"/>
    <w:rsid w:val="00431639"/>
    <w:rsid w:val="00431735"/>
    <w:rsid w:val="00431757"/>
    <w:rsid w:val="004317BD"/>
    <w:rsid w:val="00431834"/>
    <w:rsid w:val="00431842"/>
    <w:rsid w:val="00431A77"/>
    <w:rsid w:val="00431BD7"/>
    <w:rsid w:val="00431F0B"/>
    <w:rsid w:val="00431F66"/>
    <w:rsid w:val="00432110"/>
    <w:rsid w:val="004321F4"/>
    <w:rsid w:val="00432533"/>
    <w:rsid w:val="004326A9"/>
    <w:rsid w:val="0043298D"/>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45"/>
    <w:rsid w:val="0043796D"/>
    <w:rsid w:val="00437FB8"/>
    <w:rsid w:val="00440671"/>
    <w:rsid w:val="0044082B"/>
    <w:rsid w:val="00441555"/>
    <w:rsid w:val="00441872"/>
    <w:rsid w:val="004418CE"/>
    <w:rsid w:val="004419C5"/>
    <w:rsid w:val="00441D21"/>
    <w:rsid w:val="004420EF"/>
    <w:rsid w:val="00442221"/>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50"/>
    <w:rsid w:val="00446962"/>
    <w:rsid w:val="00446C89"/>
    <w:rsid w:val="00446DDE"/>
    <w:rsid w:val="00446E44"/>
    <w:rsid w:val="00447052"/>
    <w:rsid w:val="0044722E"/>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99C"/>
    <w:rsid w:val="00452A38"/>
    <w:rsid w:val="00452E50"/>
    <w:rsid w:val="004531B5"/>
    <w:rsid w:val="0045327D"/>
    <w:rsid w:val="00453341"/>
    <w:rsid w:val="00453490"/>
    <w:rsid w:val="00453748"/>
    <w:rsid w:val="00453779"/>
    <w:rsid w:val="00453904"/>
    <w:rsid w:val="004539BB"/>
    <w:rsid w:val="00453D19"/>
    <w:rsid w:val="00453E63"/>
    <w:rsid w:val="00454127"/>
    <w:rsid w:val="0045412F"/>
    <w:rsid w:val="00454144"/>
    <w:rsid w:val="004543D1"/>
    <w:rsid w:val="0045477C"/>
    <w:rsid w:val="00455176"/>
    <w:rsid w:val="004553D7"/>
    <w:rsid w:val="00455C13"/>
    <w:rsid w:val="00456027"/>
    <w:rsid w:val="0045615C"/>
    <w:rsid w:val="00456203"/>
    <w:rsid w:val="0045625E"/>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1E52"/>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7F3"/>
    <w:rsid w:val="00466879"/>
    <w:rsid w:val="004668C6"/>
    <w:rsid w:val="00466AAB"/>
    <w:rsid w:val="00466CFA"/>
    <w:rsid w:val="004670F4"/>
    <w:rsid w:val="004670F9"/>
    <w:rsid w:val="00467245"/>
    <w:rsid w:val="004674D4"/>
    <w:rsid w:val="004674D6"/>
    <w:rsid w:val="00467A72"/>
    <w:rsid w:val="00467D88"/>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308"/>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60A"/>
    <w:rsid w:val="004837BB"/>
    <w:rsid w:val="00483BC8"/>
    <w:rsid w:val="00483D26"/>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0F0"/>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82D"/>
    <w:rsid w:val="0049596B"/>
    <w:rsid w:val="004959B6"/>
    <w:rsid w:val="00495AA6"/>
    <w:rsid w:val="00495AB7"/>
    <w:rsid w:val="00495BDB"/>
    <w:rsid w:val="00495D80"/>
    <w:rsid w:val="00495E13"/>
    <w:rsid w:val="00495E45"/>
    <w:rsid w:val="00495E63"/>
    <w:rsid w:val="00495FE8"/>
    <w:rsid w:val="0049634B"/>
    <w:rsid w:val="00496404"/>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5F19"/>
    <w:rsid w:val="004A610F"/>
    <w:rsid w:val="004A62DD"/>
    <w:rsid w:val="004A64F5"/>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BC3"/>
    <w:rsid w:val="004B3E48"/>
    <w:rsid w:val="004B3FF2"/>
    <w:rsid w:val="004B40CD"/>
    <w:rsid w:val="004B41E7"/>
    <w:rsid w:val="004B4463"/>
    <w:rsid w:val="004B46F4"/>
    <w:rsid w:val="004B480F"/>
    <w:rsid w:val="004B4A6B"/>
    <w:rsid w:val="004B4FFE"/>
    <w:rsid w:val="004B501F"/>
    <w:rsid w:val="004B50B0"/>
    <w:rsid w:val="004B548A"/>
    <w:rsid w:val="004B55B2"/>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1BF"/>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109"/>
    <w:rsid w:val="004C6209"/>
    <w:rsid w:val="004C657F"/>
    <w:rsid w:val="004C680C"/>
    <w:rsid w:val="004C6938"/>
    <w:rsid w:val="004C699D"/>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81A"/>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2F"/>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CFB"/>
    <w:rsid w:val="004E1D9E"/>
    <w:rsid w:val="004E1EFF"/>
    <w:rsid w:val="004E1FA7"/>
    <w:rsid w:val="004E200C"/>
    <w:rsid w:val="004E2218"/>
    <w:rsid w:val="004E22E0"/>
    <w:rsid w:val="004E2720"/>
    <w:rsid w:val="004E273F"/>
    <w:rsid w:val="004E27A7"/>
    <w:rsid w:val="004E27AB"/>
    <w:rsid w:val="004E29D5"/>
    <w:rsid w:val="004E2C3D"/>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D2E"/>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377"/>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9BC"/>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3A1D"/>
    <w:rsid w:val="00504104"/>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01"/>
    <w:rsid w:val="00510CB9"/>
    <w:rsid w:val="00510EBA"/>
    <w:rsid w:val="00511079"/>
    <w:rsid w:val="0051113A"/>
    <w:rsid w:val="0051135F"/>
    <w:rsid w:val="0051144E"/>
    <w:rsid w:val="00511640"/>
    <w:rsid w:val="005116A4"/>
    <w:rsid w:val="005117D9"/>
    <w:rsid w:val="00511886"/>
    <w:rsid w:val="005118E1"/>
    <w:rsid w:val="00511B4E"/>
    <w:rsid w:val="00511C3B"/>
    <w:rsid w:val="00511CCA"/>
    <w:rsid w:val="00511D1B"/>
    <w:rsid w:val="00511FC3"/>
    <w:rsid w:val="0051202E"/>
    <w:rsid w:val="00512282"/>
    <w:rsid w:val="005128BC"/>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4C87"/>
    <w:rsid w:val="0051527C"/>
    <w:rsid w:val="0051539C"/>
    <w:rsid w:val="0051563D"/>
    <w:rsid w:val="0051566B"/>
    <w:rsid w:val="00515702"/>
    <w:rsid w:val="0051573B"/>
    <w:rsid w:val="0051597F"/>
    <w:rsid w:val="00515B3B"/>
    <w:rsid w:val="00515E47"/>
    <w:rsid w:val="00515F02"/>
    <w:rsid w:val="00515F38"/>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A77"/>
    <w:rsid w:val="00522D09"/>
    <w:rsid w:val="00522E34"/>
    <w:rsid w:val="00523158"/>
    <w:rsid w:val="0052324C"/>
    <w:rsid w:val="00523364"/>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0C"/>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49"/>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4F6"/>
    <w:rsid w:val="00533543"/>
    <w:rsid w:val="00533621"/>
    <w:rsid w:val="0053398E"/>
    <w:rsid w:val="00533BC0"/>
    <w:rsid w:val="00533F1E"/>
    <w:rsid w:val="00534180"/>
    <w:rsid w:val="00534224"/>
    <w:rsid w:val="005342AA"/>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6FC5"/>
    <w:rsid w:val="00537161"/>
    <w:rsid w:val="005371C3"/>
    <w:rsid w:val="005379CC"/>
    <w:rsid w:val="00537A26"/>
    <w:rsid w:val="00537AAD"/>
    <w:rsid w:val="00537D1F"/>
    <w:rsid w:val="00537D57"/>
    <w:rsid w:val="00540452"/>
    <w:rsid w:val="005406FC"/>
    <w:rsid w:val="005408BB"/>
    <w:rsid w:val="00540934"/>
    <w:rsid w:val="00540C38"/>
    <w:rsid w:val="00540C3E"/>
    <w:rsid w:val="00540D6F"/>
    <w:rsid w:val="00541040"/>
    <w:rsid w:val="005411B3"/>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29D"/>
    <w:rsid w:val="005515A0"/>
    <w:rsid w:val="00551641"/>
    <w:rsid w:val="00551668"/>
    <w:rsid w:val="00551B11"/>
    <w:rsid w:val="00551BB6"/>
    <w:rsid w:val="00551C2C"/>
    <w:rsid w:val="00551C2E"/>
    <w:rsid w:val="00551C40"/>
    <w:rsid w:val="0055204C"/>
    <w:rsid w:val="0055220C"/>
    <w:rsid w:val="00552339"/>
    <w:rsid w:val="005524CF"/>
    <w:rsid w:val="00552606"/>
    <w:rsid w:val="005526A4"/>
    <w:rsid w:val="005529E3"/>
    <w:rsid w:val="00552B69"/>
    <w:rsid w:val="00552BE1"/>
    <w:rsid w:val="00552EC1"/>
    <w:rsid w:val="00553248"/>
    <w:rsid w:val="005532B7"/>
    <w:rsid w:val="005533E0"/>
    <w:rsid w:val="005536B8"/>
    <w:rsid w:val="0055392A"/>
    <w:rsid w:val="00553A4B"/>
    <w:rsid w:val="00553C34"/>
    <w:rsid w:val="00553C78"/>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3DE"/>
    <w:rsid w:val="005565FC"/>
    <w:rsid w:val="00556605"/>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5D7"/>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CA9"/>
    <w:rsid w:val="00566EC6"/>
    <w:rsid w:val="005672C0"/>
    <w:rsid w:val="0056741D"/>
    <w:rsid w:val="00567434"/>
    <w:rsid w:val="00567546"/>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76"/>
    <w:rsid w:val="00570C1C"/>
    <w:rsid w:val="00570D3A"/>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4F1D"/>
    <w:rsid w:val="0057542F"/>
    <w:rsid w:val="005754D0"/>
    <w:rsid w:val="005758E5"/>
    <w:rsid w:val="00575C35"/>
    <w:rsid w:val="00575F5A"/>
    <w:rsid w:val="00575FAC"/>
    <w:rsid w:val="00576283"/>
    <w:rsid w:val="005763EF"/>
    <w:rsid w:val="005766EE"/>
    <w:rsid w:val="0057683B"/>
    <w:rsid w:val="00576A28"/>
    <w:rsid w:val="00576AD9"/>
    <w:rsid w:val="00576C9F"/>
    <w:rsid w:val="00576DCB"/>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E2"/>
    <w:rsid w:val="005826FD"/>
    <w:rsid w:val="005828C2"/>
    <w:rsid w:val="005829C8"/>
    <w:rsid w:val="00582A29"/>
    <w:rsid w:val="00582B0E"/>
    <w:rsid w:val="00582E7F"/>
    <w:rsid w:val="00582FEE"/>
    <w:rsid w:val="005839B2"/>
    <w:rsid w:val="00583AF3"/>
    <w:rsid w:val="00583B2C"/>
    <w:rsid w:val="00583DB7"/>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796"/>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0CD9"/>
    <w:rsid w:val="005B0D0E"/>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02"/>
    <w:rsid w:val="005D1C63"/>
    <w:rsid w:val="005D1DE6"/>
    <w:rsid w:val="005D1FC8"/>
    <w:rsid w:val="005D2322"/>
    <w:rsid w:val="005D28F1"/>
    <w:rsid w:val="005D2B5F"/>
    <w:rsid w:val="005D2BCD"/>
    <w:rsid w:val="005D2F6E"/>
    <w:rsid w:val="005D3019"/>
    <w:rsid w:val="005D3424"/>
    <w:rsid w:val="005D3850"/>
    <w:rsid w:val="005D38B7"/>
    <w:rsid w:val="005D38FD"/>
    <w:rsid w:val="005D3C49"/>
    <w:rsid w:val="005D3D43"/>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666"/>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AA5"/>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8B2"/>
    <w:rsid w:val="005E1C90"/>
    <w:rsid w:val="005E1D07"/>
    <w:rsid w:val="005E1FC7"/>
    <w:rsid w:val="005E1FE4"/>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023"/>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090"/>
    <w:rsid w:val="005F4493"/>
    <w:rsid w:val="005F44DC"/>
    <w:rsid w:val="005F46BD"/>
    <w:rsid w:val="005F482E"/>
    <w:rsid w:val="005F48D2"/>
    <w:rsid w:val="005F49B9"/>
    <w:rsid w:val="005F4A2F"/>
    <w:rsid w:val="005F4F8A"/>
    <w:rsid w:val="005F5048"/>
    <w:rsid w:val="005F56DC"/>
    <w:rsid w:val="005F576B"/>
    <w:rsid w:val="005F614D"/>
    <w:rsid w:val="005F61F4"/>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3F4"/>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C28"/>
    <w:rsid w:val="00604EEB"/>
    <w:rsid w:val="00604F53"/>
    <w:rsid w:val="006051BA"/>
    <w:rsid w:val="006051CF"/>
    <w:rsid w:val="006051FA"/>
    <w:rsid w:val="00605458"/>
    <w:rsid w:val="0060546F"/>
    <w:rsid w:val="00605527"/>
    <w:rsid w:val="00605805"/>
    <w:rsid w:val="006058FC"/>
    <w:rsid w:val="00605C32"/>
    <w:rsid w:val="00605C69"/>
    <w:rsid w:val="00605E9C"/>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7D0"/>
    <w:rsid w:val="006179F2"/>
    <w:rsid w:val="00617C48"/>
    <w:rsid w:val="00617CB4"/>
    <w:rsid w:val="00617DC5"/>
    <w:rsid w:val="00617EAB"/>
    <w:rsid w:val="00617FAC"/>
    <w:rsid w:val="00620095"/>
    <w:rsid w:val="0062011A"/>
    <w:rsid w:val="006201BD"/>
    <w:rsid w:val="00620296"/>
    <w:rsid w:val="0062040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942"/>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06A"/>
    <w:rsid w:val="00640639"/>
    <w:rsid w:val="00640B09"/>
    <w:rsid w:val="00640B3D"/>
    <w:rsid w:val="00640D7A"/>
    <w:rsid w:val="00640D82"/>
    <w:rsid w:val="006414D9"/>
    <w:rsid w:val="006414EB"/>
    <w:rsid w:val="00641518"/>
    <w:rsid w:val="006416FA"/>
    <w:rsid w:val="006418B2"/>
    <w:rsid w:val="00641BF5"/>
    <w:rsid w:val="00641E8A"/>
    <w:rsid w:val="0064219E"/>
    <w:rsid w:val="006421A8"/>
    <w:rsid w:val="0064252A"/>
    <w:rsid w:val="006428EB"/>
    <w:rsid w:val="00642A83"/>
    <w:rsid w:val="00642AF1"/>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92C"/>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2D2B"/>
    <w:rsid w:val="006530CF"/>
    <w:rsid w:val="0065316C"/>
    <w:rsid w:val="00653296"/>
    <w:rsid w:val="00653438"/>
    <w:rsid w:val="00653673"/>
    <w:rsid w:val="00653735"/>
    <w:rsid w:val="00653763"/>
    <w:rsid w:val="00653D49"/>
    <w:rsid w:val="00653FD4"/>
    <w:rsid w:val="006542DE"/>
    <w:rsid w:val="006548A6"/>
    <w:rsid w:val="00654985"/>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1A7"/>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B0D"/>
    <w:rsid w:val="00671D7A"/>
    <w:rsid w:val="00671FC2"/>
    <w:rsid w:val="006723DD"/>
    <w:rsid w:val="0067240C"/>
    <w:rsid w:val="00672A4E"/>
    <w:rsid w:val="00672A6E"/>
    <w:rsid w:val="00672ACA"/>
    <w:rsid w:val="00672DBF"/>
    <w:rsid w:val="006731CE"/>
    <w:rsid w:val="006737C4"/>
    <w:rsid w:val="006737D4"/>
    <w:rsid w:val="00673E0F"/>
    <w:rsid w:val="00674113"/>
    <w:rsid w:val="0067413A"/>
    <w:rsid w:val="006749C5"/>
    <w:rsid w:val="00674A3E"/>
    <w:rsid w:val="00674BD8"/>
    <w:rsid w:val="0067528D"/>
    <w:rsid w:val="0067548F"/>
    <w:rsid w:val="006754C5"/>
    <w:rsid w:val="006754CD"/>
    <w:rsid w:val="00675536"/>
    <w:rsid w:val="00675761"/>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1E"/>
    <w:rsid w:val="00681EEE"/>
    <w:rsid w:val="00682052"/>
    <w:rsid w:val="00682419"/>
    <w:rsid w:val="00682502"/>
    <w:rsid w:val="006825A8"/>
    <w:rsid w:val="0068292A"/>
    <w:rsid w:val="00682BDF"/>
    <w:rsid w:val="00682C77"/>
    <w:rsid w:val="00682D04"/>
    <w:rsid w:val="0068325B"/>
    <w:rsid w:val="00683357"/>
    <w:rsid w:val="0068338C"/>
    <w:rsid w:val="006838C5"/>
    <w:rsid w:val="006839BD"/>
    <w:rsid w:val="00683EAF"/>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367"/>
    <w:rsid w:val="006A44B3"/>
    <w:rsid w:val="006A46A0"/>
    <w:rsid w:val="006A46EE"/>
    <w:rsid w:val="006A4A2D"/>
    <w:rsid w:val="006A4B4D"/>
    <w:rsid w:val="006A4CB2"/>
    <w:rsid w:val="006A51F0"/>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C5"/>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DFB"/>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46E"/>
    <w:rsid w:val="006C795C"/>
    <w:rsid w:val="006C7A96"/>
    <w:rsid w:val="006C7A9C"/>
    <w:rsid w:val="006C7C1E"/>
    <w:rsid w:val="006C7E9B"/>
    <w:rsid w:val="006D00CE"/>
    <w:rsid w:val="006D05CB"/>
    <w:rsid w:val="006D06D6"/>
    <w:rsid w:val="006D06DD"/>
    <w:rsid w:val="006D0AE2"/>
    <w:rsid w:val="006D0C94"/>
    <w:rsid w:val="006D0D18"/>
    <w:rsid w:val="006D0E1F"/>
    <w:rsid w:val="006D1012"/>
    <w:rsid w:val="006D151D"/>
    <w:rsid w:val="006D172D"/>
    <w:rsid w:val="006D1974"/>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2FC5"/>
    <w:rsid w:val="006D3124"/>
    <w:rsid w:val="006D31A8"/>
    <w:rsid w:val="006D34CD"/>
    <w:rsid w:val="006D379B"/>
    <w:rsid w:val="006D3952"/>
    <w:rsid w:val="006D3BE9"/>
    <w:rsid w:val="006D3BF3"/>
    <w:rsid w:val="006D3D69"/>
    <w:rsid w:val="006D3DC7"/>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57C"/>
    <w:rsid w:val="006E069F"/>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483"/>
    <w:rsid w:val="006E2528"/>
    <w:rsid w:val="006E25B4"/>
    <w:rsid w:val="006E2623"/>
    <w:rsid w:val="006E2753"/>
    <w:rsid w:val="006E281A"/>
    <w:rsid w:val="006E2A41"/>
    <w:rsid w:val="006E2B58"/>
    <w:rsid w:val="006E2ECC"/>
    <w:rsid w:val="006E2FB0"/>
    <w:rsid w:val="006E3024"/>
    <w:rsid w:val="006E30E3"/>
    <w:rsid w:val="006E3717"/>
    <w:rsid w:val="006E3B8C"/>
    <w:rsid w:val="006E3C5B"/>
    <w:rsid w:val="006E3D4E"/>
    <w:rsid w:val="006E3D56"/>
    <w:rsid w:val="006E4098"/>
    <w:rsid w:val="006E420C"/>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5D9D"/>
    <w:rsid w:val="006E600B"/>
    <w:rsid w:val="006E6101"/>
    <w:rsid w:val="006E61D3"/>
    <w:rsid w:val="006E61F4"/>
    <w:rsid w:val="006E6203"/>
    <w:rsid w:val="006E63C1"/>
    <w:rsid w:val="006E63FC"/>
    <w:rsid w:val="006E6BA3"/>
    <w:rsid w:val="006E6C69"/>
    <w:rsid w:val="006E6DC2"/>
    <w:rsid w:val="006E6E94"/>
    <w:rsid w:val="006E6F18"/>
    <w:rsid w:val="006E70D0"/>
    <w:rsid w:val="006E720D"/>
    <w:rsid w:val="006E73BC"/>
    <w:rsid w:val="006E749D"/>
    <w:rsid w:val="006E7A66"/>
    <w:rsid w:val="006E7CC2"/>
    <w:rsid w:val="006F01C0"/>
    <w:rsid w:val="006F029F"/>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2B"/>
    <w:rsid w:val="006F2AA9"/>
    <w:rsid w:val="006F2AD0"/>
    <w:rsid w:val="006F2F4F"/>
    <w:rsid w:val="006F3045"/>
    <w:rsid w:val="006F322F"/>
    <w:rsid w:val="006F32EA"/>
    <w:rsid w:val="006F33B6"/>
    <w:rsid w:val="006F35CF"/>
    <w:rsid w:val="006F36D4"/>
    <w:rsid w:val="006F36D9"/>
    <w:rsid w:val="006F37F5"/>
    <w:rsid w:val="006F39BB"/>
    <w:rsid w:val="006F3BB2"/>
    <w:rsid w:val="006F3C79"/>
    <w:rsid w:val="006F3C9D"/>
    <w:rsid w:val="006F3F87"/>
    <w:rsid w:val="006F41B0"/>
    <w:rsid w:val="006F41FD"/>
    <w:rsid w:val="006F43C2"/>
    <w:rsid w:val="006F4616"/>
    <w:rsid w:val="006F477B"/>
    <w:rsid w:val="006F47B7"/>
    <w:rsid w:val="006F47D1"/>
    <w:rsid w:val="006F4875"/>
    <w:rsid w:val="006F49CA"/>
    <w:rsid w:val="006F4BD2"/>
    <w:rsid w:val="006F4C94"/>
    <w:rsid w:val="006F4CE8"/>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C1B"/>
    <w:rsid w:val="00711CAC"/>
    <w:rsid w:val="00711E13"/>
    <w:rsid w:val="007121AC"/>
    <w:rsid w:val="00712269"/>
    <w:rsid w:val="007123D0"/>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6D7"/>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E6A"/>
    <w:rsid w:val="00723F7C"/>
    <w:rsid w:val="007240DE"/>
    <w:rsid w:val="007244C0"/>
    <w:rsid w:val="0072454F"/>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814"/>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EE0"/>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737"/>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26C"/>
    <w:rsid w:val="007515DC"/>
    <w:rsid w:val="007517A9"/>
    <w:rsid w:val="007518A8"/>
    <w:rsid w:val="007518FB"/>
    <w:rsid w:val="00751C0B"/>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9B3"/>
    <w:rsid w:val="00753B54"/>
    <w:rsid w:val="00753BD1"/>
    <w:rsid w:val="00753D80"/>
    <w:rsid w:val="00753DA1"/>
    <w:rsid w:val="00753FEC"/>
    <w:rsid w:val="00754015"/>
    <w:rsid w:val="0075405D"/>
    <w:rsid w:val="0075411B"/>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8C"/>
    <w:rsid w:val="00755691"/>
    <w:rsid w:val="00755723"/>
    <w:rsid w:val="00755A99"/>
    <w:rsid w:val="00755D69"/>
    <w:rsid w:val="00755E0B"/>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25"/>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0CA"/>
    <w:rsid w:val="00764A7E"/>
    <w:rsid w:val="00764B49"/>
    <w:rsid w:val="00764BE0"/>
    <w:rsid w:val="00764C90"/>
    <w:rsid w:val="00764C98"/>
    <w:rsid w:val="00764CFF"/>
    <w:rsid w:val="00764FBE"/>
    <w:rsid w:val="00764FC0"/>
    <w:rsid w:val="00765046"/>
    <w:rsid w:val="00765127"/>
    <w:rsid w:val="00765128"/>
    <w:rsid w:val="0076515B"/>
    <w:rsid w:val="00765201"/>
    <w:rsid w:val="00765320"/>
    <w:rsid w:val="007654F9"/>
    <w:rsid w:val="0076577F"/>
    <w:rsid w:val="00765D4B"/>
    <w:rsid w:val="00765F82"/>
    <w:rsid w:val="00766302"/>
    <w:rsid w:val="007663D4"/>
    <w:rsid w:val="0076669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69D"/>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CC"/>
    <w:rsid w:val="0078011E"/>
    <w:rsid w:val="0078014B"/>
    <w:rsid w:val="007805AF"/>
    <w:rsid w:val="007805B8"/>
    <w:rsid w:val="007805FA"/>
    <w:rsid w:val="00780678"/>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09"/>
    <w:rsid w:val="00782E36"/>
    <w:rsid w:val="00782EC5"/>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1D82"/>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7F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548"/>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2A7"/>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396"/>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1D37"/>
    <w:rsid w:val="007D2228"/>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1F"/>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8FE"/>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01E"/>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CF0"/>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0C97"/>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988"/>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4F"/>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AEC"/>
    <w:rsid w:val="00816B93"/>
    <w:rsid w:val="00816C95"/>
    <w:rsid w:val="00816FF7"/>
    <w:rsid w:val="008171B2"/>
    <w:rsid w:val="008172B0"/>
    <w:rsid w:val="008172B3"/>
    <w:rsid w:val="00817314"/>
    <w:rsid w:val="0081753D"/>
    <w:rsid w:val="008177BD"/>
    <w:rsid w:val="00817809"/>
    <w:rsid w:val="008178E1"/>
    <w:rsid w:val="00817BAE"/>
    <w:rsid w:val="00817DA1"/>
    <w:rsid w:val="0082000D"/>
    <w:rsid w:val="00820087"/>
    <w:rsid w:val="0082030A"/>
    <w:rsid w:val="00820353"/>
    <w:rsid w:val="00820439"/>
    <w:rsid w:val="008208CD"/>
    <w:rsid w:val="00820A4C"/>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4D2"/>
    <w:rsid w:val="00822502"/>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A6"/>
    <w:rsid w:val="00833385"/>
    <w:rsid w:val="00833483"/>
    <w:rsid w:val="008335B0"/>
    <w:rsid w:val="0083363C"/>
    <w:rsid w:val="008337EE"/>
    <w:rsid w:val="008338B8"/>
    <w:rsid w:val="00833A74"/>
    <w:rsid w:val="00833CB4"/>
    <w:rsid w:val="00833DF1"/>
    <w:rsid w:val="00833F57"/>
    <w:rsid w:val="008341CF"/>
    <w:rsid w:val="0083443A"/>
    <w:rsid w:val="0083464E"/>
    <w:rsid w:val="008346C9"/>
    <w:rsid w:val="008346DB"/>
    <w:rsid w:val="0083475F"/>
    <w:rsid w:val="008347C4"/>
    <w:rsid w:val="00834889"/>
    <w:rsid w:val="00834AAE"/>
    <w:rsid w:val="00834BB9"/>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6FFC"/>
    <w:rsid w:val="00837796"/>
    <w:rsid w:val="00837846"/>
    <w:rsid w:val="00837AA6"/>
    <w:rsid w:val="00837B74"/>
    <w:rsid w:val="00837BD4"/>
    <w:rsid w:val="008401E1"/>
    <w:rsid w:val="0084067B"/>
    <w:rsid w:val="00840774"/>
    <w:rsid w:val="0084081F"/>
    <w:rsid w:val="00840C27"/>
    <w:rsid w:val="00840CAA"/>
    <w:rsid w:val="00840D8A"/>
    <w:rsid w:val="008417D3"/>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07"/>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43"/>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87"/>
    <w:rsid w:val="008537D9"/>
    <w:rsid w:val="00853803"/>
    <w:rsid w:val="00853964"/>
    <w:rsid w:val="00853AB3"/>
    <w:rsid w:val="00853ADE"/>
    <w:rsid w:val="00853CA1"/>
    <w:rsid w:val="00853CE2"/>
    <w:rsid w:val="00853DBF"/>
    <w:rsid w:val="00854028"/>
    <w:rsid w:val="00854163"/>
    <w:rsid w:val="00854280"/>
    <w:rsid w:val="00854299"/>
    <w:rsid w:val="00854353"/>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AC9"/>
    <w:rsid w:val="00856F53"/>
    <w:rsid w:val="00856FFB"/>
    <w:rsid w:val="00857037"/>
    <w:rsid w:val="00857410"/>
    <w:rsid w:val="008574F2"/>
    <w:rsid w:val="00857669"/>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51D"/>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4C0"/>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0C"/>
    <w:rsid w:val="00875EA5"/>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4E7"/>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554"/>
    <w:rsid w:val="00891A6C"/>
    <w:rsid w:val="00891AC5"/>
    <w:rsid w:val="00891CAF"/>
    <w:rsid w:val="00891DCE"/>
    <w:rsid w:val="00891DD4"/>
    <w:rsid w:val="00892289"/>
    <w:rsid w:val="00892472"/>
    <w:rsid w:val="008924A0"/>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6E4"/>
    <w:rsid w:val="008957D3"/>
    <w:rsid w:val="008960F2"/>
    <w:rsid w:val="00896336"/>
    <w:rsid w:val="00896418"/>
    <w:rsid w:val="00896477"/>
    <w:rsid w:val="008964BD"/>
    <w:rsid w:val="008964F7"/>
    <w:rsid w:val="008966FC"/>
    <w:rsid w:val="00896A00"/>
    <w:rsid w:val="00896A62"/>
    <w:rsid w:val="00897138"/>
    <w:rsid w:val="0089736A"/>
    <w:rsid w:val="00897392"/>
    <w:rsid w:val="008973A6"/>
    <w:rsid w:val="00897528"/>
    <w:rsid w:val="0089757C"/>
    <w:rsid w:val="008975C1"/>
    <w:rsid w:val="00897604"/>
    <w:rsid w:val="0089760E"/>
    <w:rsid w:val="008977EE"/>
    <w:rsid w:val="00897960"/>
    <w:rsid w:val="008979BE"/>
    <w:rsid w:val="00897F2C"/>
    <w:rsid w:val="008A005C"/>
    <w:rsid w:val="008A0348"/>
    <w:rsid w:val="008A0432"/>
    <w:rsid w:val="008A06EB"/>
    <w:rsid w:val="008A08D0"/>
    <w:rsid w:val="008A0982"/>
    <w:rsid w:val="008A0B1C"/>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771"/>
    <w:rsid w:val="008A2903"/>
    <w:rsid w:val="008A290D"/>
    <w:rsid w:val="008A295B"/>
    <w:rsid w:val="008A2AFA"/>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7E7"/>
    <w:rsid w:val="008B28D9"/>
    <w:rsid w:val="008B28DA"/>
    <w:rsid w:val="008B2D66"/>
    <w:rsid w:val="008B3046"/>
    <w:rsid w:val="008B32A7"/>
    <w:rsid w:val="008B3341"/>
    <w:rsid w:val="008B3648"/>
    <w:rsid w:val="008B3810"/>
    <w:rsid w:val="008B39F6"/>
    <w:rsid w:val="008B3DFE"/>
    <w:rsid w:val="008B4297"/>
    <w:rsid w:val="008B42E1"/>
    <w:rsid w:val="008B43CB"/>
    <w:rsid w:val="008B4502"/>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188"/>
    <w:rsid w:val="008B721A"/>
    <w:rsid w:val="008B73D9"/>
    <w:rsid w:val="008B79E4"/>
    <w:rsid w:val="008B7BAB"/>
    <w:rsid w:val="008B7EBC"/>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59A"/>
    <w:rsid w:val="008C48A8"/>
    <w:rsid w:val="008C4A1D"/>
    <w:rsid w:val="008C4B25"/>
    <w:rsid w:val="008C4B71"/>
    <w:rsid w:val="008C5053"/>
    <w:rsid w:val="008C50FB"/>
    <w:rsid w:val="008C50FD"/>
    <w:rsid w:val="008C5687"/>
    <w:rsid w:val="008C5767"/>
    <w:rsid w:val="008C5836"/>
    <w:rsid w:val="008C5A68"/>
    <w:rsid w:val="008C5F65"/>
    <w:rsid w:val="008C600B"/>
    <w:rsid w:val="008C61DC"/>
    <w:rsid w:val="008C6447"/>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05E"/>
    <w:rsid w:val="008D4254"/>
    <w:rsid w:val="008D4385"/>
    <w:rsid w:val="008D4399"/>
    <w:rsid w:val="008D43A2"/>
    <w:rsid w:val="008D4434"/>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A54"/>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529"/>
    <w:rsid w:val="008E7533"/>
    <w:rsid w:val="008E7B06"/>
    <w:rsid w:val="008E7C3D"/>
    <w:rsid w:val="008F00F6"/>
    <w:rsid w:val="008F044A"/>
    <w:rsid w:val="008F0487"/>
    <w:rsid w:val="008F05ED"/>
    <w:rsid w:val="008F0797"/>
    <w:rsid w:val="008F083E"/>
    <w:rsid w:val="008F0AD0"/>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BA4"/>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8EA"/>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199"/>
    <w:rsid w:val="00904249"/>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89"/>
    <w:rsid w:val="00907C99"/>
    <w:rsid w:val="00907E21"/>
    <w:rsid w:val="00907F91"/>
    <w:rsid w:val="00910010"/>
    <w:rsid w:val="00910074"/>
    <w:rsid w:val="009100B8"/>
    <w:rsid w:val="009102CD"/>
    <w:rsid w:val="00910319"/>
    <w:rsid w:val="00910415"/>
    <w:rsid w:val="00910419"/>
    <w:rsid w:val="009105D7"/>
    <w:rsid w:val="00910731"/>
    <w:rsid w:val="0091084B"/>
    <w:rsid w:val="009109F4"/>
    <w:rsid w:val="00910A8E"/>
    <w:rsid w:val="00910E16"/>
    <w:rsid w:val="00910ED6"/>
    <w:rsid w:val="00910F0A"/>
    <w:rsid w:val="00911273"/>
    <w:rsid w:val="00911498"/>
    <w:rsid w:val="00911C0A"/>
    <w:rsid w:val="00911C49"/>
    <w:rsid w:val="00911E64"/>
    <w:rsid w:val="00911F50"/>
    <w:rsid w:val="0091208D"/>
    <w:rsid w:val="009120BB"/>
    <w:rsid w:val="0091212E"/>
    <w:rsid w:val="00912202"/>
    <w:rsid w:val="00912217"/>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AC6"/>
    <w:rsid w:val="00915B81"/>
    <w:rsid w:val="00915D5C"/>
    <w:rsid w:val="00915DA5"/>
    <w:rsid w:val="00915EEA"/>
    <w:rsid w:val="009161C9"/>
    <w:rsid w:val="00916320"/>
    <w:rsid w:val="009164C9"/>
    <w:rsid w:val="009165BA"/>
    <w:rsid w:val="0091667B"/>
    <w:rsid w:val="00916ABB"/>
    <w:rsid w:val="00916AC7"/>
    <w:rsid w:val="00916D59"/>
    <w:rsid w:val="00916E12"/>
    <w:rsid w:val="009170AD"/>
    <w:rsid w:val="0091719F"/>
    <w:rsid w:val="0091793A"/>
    <w:rsid w:val="00917AF4"/>
    <w:rsid w:val="00917E35"/>
    <w:rsid w:val="00917F24"/>
    <w:rsid w:val="00920039"/>
    <w:rsid w:val="0092017D"/>
    <w:rsid w:val="009201B6"/>
    <w:rsid w:val="00920208"/>
    <w:rsid w:val="00920384"/>
    <w:rsid w:val="009203DA"/>
    <w:rsid w:val="0092047E"/>
    <w:rsid w:val="00920898"/>
    <w:rsid w:val="009208C6"/>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5AE"/>
    <w:rsid w:val="0092374E"/>
    <w:rsid w:val="00923951"/>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EE3"/>
    <w:rsid w:val="0092706C"/>
    <w:rsid w:val="0092728D"/>
    <w:rsid w:val="009275BD"/>
    <w:rsid w:val="0092784A"/>
    <w:rsid w:val="00927A78"/>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941"/>
    <w:rsid w:val="00934A52"/>
    <w:rsid w:val="00934AEE"/>
    <w:rsid w:val="00934BBF"/>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41A"/>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5CF"/>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087"/>
    <w:rsid w:val="0095354E"/>
    <w:rsid w:val="0095363D"/>
    <w:rsid w:val="009536C8"/>
    <w:rsid w:val="009536EF"/>
    <w:rsid w:val="00953EBB"/>
    <w:rsid w:val="00953EFF"/>
    <w:rsid w:val="009540A0"/>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B3E"/>
    <w:rsid w:val="00956C1E"/>
    <w:rsid w:val="009570D7"/>
    <w:rsid w:val="009572F0"/>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4E"/>
    <w:rsid w:val="00961EA5"/>
    <w:rsid w:val="009620B3"/>
    <w:rsid w:val="009621A3"/>
    <w:rsid w:val="00962426"/>
    <w:rsid w:val="009624BF"/>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3CA"/>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B82"/>
    <w:rsid w:val="00966C44"/>
    <w:rsid w:val="00966CE2"/>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27F"/>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ABE"/>
    <w:rsid w:val="00973B6E"/>
    <w:rsid w:val="0097400B"/>
    <w:rsid w:val="009741F9"/>
    <w:rsid w:val="0097424E"/>
    <w:rsid w:val="009742FA"/>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E0F"/>
    <w:rsid w:val="00975F2C"/>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161"/>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583"/>
    <w:rsid w:val="0099171A"/>
    <w:rsid w:val="0099193C"/>
    <w:rsid w:val="00991A84"/>
    <w:rsid w:val="00991B5A"/>
    <w:rsid w:val="00991C73"/>
    <w:rsid w:val="009920DA"/>
    <w:rsid w:val="0099213D"/>
    <w:rsid w:val="00992300"/>
    <w:rsid w:val="00992425"/>
    <w:rsid w:val="009924BD"/>
    <w:rsid w:val="009925D2"/>
    <w:rsid w:val="0099271B"/>
    <w:rsid w:val="009927F3"/>
    <w:rsid w:val="00992A2B"/>
    <w:rsid w:val="00992AAA"/>
    <w:rsid w:val="00992DDE"/>
    <w:rsid w:val="00992E98"/>
    <w:rsid w:val="00992E9D"/>
    <w:rsid w:val="00992EF7"/>
    <w:rsid w:val="009930A2"/>
    <w:rsid w:val="0099327E"/>
    <w:rsid w:val="0099332C"/>
    <w:rsid w:val="0099353A"/>
    <w:rsid w:val="00993DE8"/>
    <w:rsid w:val="00993E51"/>
    <w:rsid w:val="00993FB6"/>
    <w:rsid w:val="0099404A"/>
    <w:rsid w:val="0099429C"/>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21A"/>
    <w:rsid w:val="009A23CD"/>
    <w:rsid w:val="009A2405"/>
    <w:rsid w:val="009A26BE"/>
    <w:rsid w:val="009A26E9"/>
    <w:rsid w:val="009A2756"/>
    <w:rsid w:val="009A2D3F"/>
    <w:rsid w:val="009A2D5B"/>
    <w:rsid w:val="009A2DE3"/>
    <w:rsid w:val="009A2EA3"/>
    <w:rsid w:val="009A3209"/>
    <w:rsid w:val="009A3A1D"/>
    <w:rsid w:val="009A3DFA"/>
    <w:rsid w:val="009A3EBA"/>
    <w:rsid w:val="009A3EF5"/>
    <w:rsid w:val="009A41DF"/>
    <w:rsid w:val="009A452A"/>
    <w:rsid w:val="009A4564"/>
    <w:rsid w:val="009A45AB"/>
    <w:rsid w:val="009A463A"/>
    <w:rsid w:val="009A46B8"/>
    <w:rsid w:val="009A4705"/>
    <w:rsid w:val="009A4A51"/>
    <w:rsid w:val="009A4C73"/>
    <w:rsid w:val="009A4F37"/>
    <w:rsid w:val="009A50E5"/>
    <w:rsid w:val="009A5172"/>
    <w:rsid w:val="009A52BD"/>
    <w:rsid w:val="009A5357"/>
    <w:rsid w:val="009A5374"/>
    <w:rsid w:val="009A53E4"/>
    <w:rsid w:val="009A53F4"/>
    <w:rsid w:val="009A5664"/>
    <w:rsid w:val="009A5694"/>
    <w:rsid w:val="009A569D"/>
    <w:rsid w:val="009A5805"/>
    <w:rsid w:val="009A59F0"/>
    <w:rsid w:val="009A5A03"/>
    <w:rsid w:val="009A618D"/>
    <w:rsid w:val="009A6231"/>
    <w:rsid w:val="009A638F"/>
    <w:rsid w:val="009A646B"/>
    <w:rsid w:val="009A655B"/>
    <w:rsid w:val="009A688B"/>
    <w:rsid w:val="009A6B96"/>
    <w:rsid w:val="009A7003"/>
    <w:rsid w:val="009A714B"/>
    <w:rsid w:val="009A7318"/>
    <w:rsid w:val="009A74E6"/>
    <w:rsid w:val="009A7675"/>
    <w:rsid w:val="009A7727"/>
    <w:rsid w:val="009A7B9E"/>
    <w:rsid w:val="009A7DE4"/>
    <w:rsid w:val="009B03A4"/>
    <w:rsid w:val="009B04CE"/>
    <w:rsid w:val="009B07C0"/>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62A"/>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2A0"/>
    <w:rsid w:val="009B630B"/>
    <w:rsid w:val="009B67CA"/>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7BD"/>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8C7"/>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138"/>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9B3"/>
    <w:rsid w:val="009D6C0F"/>
    <w:rsid w:val="009D6E8F"/>
    <w:rsid w:val="009D6F4E"/>
    <w:rsid w:val="009D7540"/>
    <w:rsid w:val="009D75DD"/>
    <w:rsid w:val="009D75E2"/>
    <w:rsid w:val="009D7765"/>
    <w:rsid w:val="009D77A3"/>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5E3E"/>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E0F"/>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6FB3"/>
    <w:rsid w:val="009F7167"/>
    <w:rsid w:val="009F72CD"/>
    <w:rsid w:val="009F7412"/>
    <w:rsid w:val="009F762B"/>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2E3"/>
    <w:rsid w:val="00A01334"/>
    <w:rsid w:val="00A015AA"/>
    <w:rsid w:val="00A018CE"/>
    <w:rsid w:val="00A01C4E"/>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65"/>
    <w:rsid w:val="00A057D3"/>
    <w:rsid w:val="00A05861"/>
    <w:rsid w:val="00A05A98"/>
    <w:rsid w:val="00A05B73"/>
    <w:rsid w:val="00A05B7B"/>
    <w:rsid w:val="00A05E3C"/>
    <w:rsid w:val="00A05E83"/>
    <w:rsid w:val="00A06360"/>
    <w:rsid w:val="00A0697D"/>
    <w:rsid w:val="00A06A9A"/>
    <w:rsid w:val="00A06E22"/>
    <w:rsid w:val="00A070AE"/>
    <w:rsid w:val="00A07146"/>
    <w:rsid w:val="00A07245"/>
    <w:rsid w:val="00A073B7"/>
    <w:rsid w:val="00A073CE"/>
    <w:rsid w:val="00A073FC"/>
    <w:rsid w:val="00A07579"/>
    <w:rsid w:val="00A079C9"/>
    <w:rsid w:val="00A079F9"/>
    <w:rsid w:val="00A07A31"/>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324"/>
    <w:rsid w:val="00A1278C"/>
    <w:rsid w:val="00A12B6A"/>
    <w:rsid w:val="00A12DF5"/>
    <w:rsid w:val="00A12E58"/>
    <w:rsid w:val="00A12ED0"/>
    <w:rsid w:val="00A12F91"/>
    <w:rsid w:val="00A12FBA"/>
    <w:rsid w:val="00A13022"/>
    <w:rsid w:val="00A1324C"/>
    <w:rsid w:val="00A1325A"/>
    <w:rsid w:val="00A134BC"/>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42"/>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1F3"/>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0E"/>
    <w:rsid w:val="00A24097"/>
    <w:rsid w:val="00A2430E"/>
    <w:rsid w:val="00A24572"/>
    <w:rsid w:val="00A24575"/>
    <w:rsid w:val="00A24792"/>
    <w:rsid w:val="00A247A7"/>
    <w:rsid w:val="00A2493C"/>
    <w:rsid w:val="00A249E6"/>
    <w:rsid w:val="00A24B21"/>
    <w:rsid w:val="00A24C24"/>
    <w:rsid w:val="00A24FE2"/>
    <w:rsid w:val="00A25440"/>
    <w:rsid w:val="00A254F8"/>
    <w:rsid w:val="00A25564"/>
    <w:rsid w:val="00A25816"/>
    <w:rsid w:val="00A25BBE"/>
    <w:rsid w:val="00A25F05"/>
    <w:rsid w:val="00A260A2"/>
    <w:rsid w:val="00A26379"/>
    <w:rsid w:val="00A2661F"/>
    <w:rsid w:val="00A2683C"/>
    <w:rsid w:val="00A26950"/>
    <w:rsid w:val="00A26E08"/>
    <w:rsid w:val="00A2705D"/>
    <w:rsid w:val="00A277B1"/>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2B3"/>
    <w:rsid w:val="00A3230D"/>
    <w:rsid w:val="00A3231C"/>
    <w:rsid w:val="00A323E1"/>
    <w:rsid w:val="00A327B3"/>
    <w:rsid w:val="00A328B2"/>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247"/>
    <w:rsid w:val="00A3473D"/>
    <w:rsid w:val="00A34A85"/>
    <w:rsid w:val="00A34FF3"/>
    <w:rsid w:val="00A35277"/>
    <w:rsid w:val="00A352F7"/>
    <w:rsid w:val="00A35382"/>
    <w:rsid w:val="00A353D7"/>
    <w:rsid w:val="00A35697"/>
    <w:rsid w:val="00A35962"/>
    <w:rsid w:val="00A35A48"/>
    <w:rsid w:val="00A35FF3"/>
    <w:rsid w:val="00A363C8"/>
    <w:rsid w:val="00A36475"/>
    <w:rsid w:val="00A36504"/>
    <w:rsid w:val="00A36559"/>
    <w:rsid w:val="00A3672C"/>
    <w:rsid w:val="00A36AA0"/>
    <w:rsid w:val="00A36D3E"/>
    <w:rsid w:val="00A36E3D"/>
    <w:rsid w:val="00A36FEC"/>
    <w:rsid w:val="00A3706A"/>
    <w:rsid w:val="00A3748C"/>
    <w:rsid w:val="00A37519"/>
    <w:rsid w:val="00A375C3"/>
    <w:rsid w:val="00A377D4"/>
    <w:rsid w:val="00A3782C"/>
    <w:rsid w:val="00A37AFB"/>
    <w:rsid w:val="00A37CFF"/>
    <w:rsid w:val="00A40082"/>
    <w:rsid w:val="00A4045E"/>
    <w:rsid w:val="00A404E3"/>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DA4"/>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05"/>
    <w:rsid w:val="00A50FCB"/>
    <w:rsid w:val="00A51011"/>
    <w:rsid w:val="00A5102B"/>
    <w:rsid w:val="00A5124C"/>
    <w:rsid w:val="00A5159A"/>
    <w:rsid w:val="00A5183E"/>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DE"/>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19"/>
    <w:rsid w:val="00A62859"/>
    <w:rsid w:val="00A6289C"/>
    <w:rsid w:val="00A62AA1"/>
    <w:rsid w:val="00A62BC2"/>
    <w:rsid w:val="00A630BE"/>
    <w:rsid w:val="00A63536"/>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E78"/>
    <w:rsid w:val="00A65F29"/>
    <w:rsid w:val="00A65F7B"/>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13A"/>
    <w:rsid w:val="00A712FD"/>
    <w:rsid w:val="00A71430"/>
    <w:rsid w:val="00A71541"/>
    <w:rsid w:val="00A717ED"/>
    <w:rsid w:val="00A71920"/>
    <w:rsid w:val="00A7193A"/>
    <w:rsid w:val="00A719B3"/>
    <w:rsid w:val="00A719E1"/>
    <w:rsid w:val="00A7200D"/>
    <w:rsid w:val="00A725DE"/>
    <w:rsid w:val="00A72647"/>
    <w:rsid w:val="00A72898"/>
    <w:rsid w:val="00A72C87"/>
    <w:rsid w:val="00A72CCF"/>
    <w:rsid w:val="00A72CE7"/>
    <w:rsid w:val="00A72D32"/>
    <w:rsid w:val="00A72F46"/>
    <w:rsid w:val="00A73270"/>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A1B"/>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96"/>
    <w:rsid w:val="00A80CFD"/>
    <w:rsid w:val="00A81163"/>
    <w:rsid w:val="00A81999"/>
    <w:rsid w:val="00A81B4A"/>
    <w:rsid w:val="00A81C56"/>
    <w:rsid w:val="00A8218E"/>
    <w:rsid w:val="00A82568"/>
    <w:rsid w:val="00A8268D"/>
    <w:rsid w:val="00A82795"/>
    <w:rsid w:val="00A82866"/>
    <w:rsid w:val="00A82CCE"/>
    <w:rsid w:val="00A82DB2"/>
    <w:rsid w:val="00A82F57"/>
    <w:rsid w:val="00A83231"/>
    <w:rsid w:val="00A833C9"/>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1B4"/>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693"/>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76"/>
    <w:rsid w:val="00AA5F99"/>
    <w:rsid w:val="00AA601E"/>
    <w:rsid w:val="00AA6026"/>
    <w:rsid w:val="00AA62A3"/>
    <w:rsid w:val="00AA64F2"/>
    <w:rsid w:val="00AA6882"/>
    <w:rsid w:val="00AA6B35"/>
    <w:rsid w:val="00AA6D10"/>
    <w:rsid w:val="00AA6E3A"/>
    <w:rsid w:val="00AA7218"/>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1"/>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45E"/>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B7F31"/>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63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3C1E"/>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394"/>
    <w:rsid w:val="00AD0426"/>
    <w:rsid w:val="00AD04BB"/>
    <w:rsid w:val="00AD05A4"/>
    <w:rsid w:val="00AD06C7"/>
    <w:rsid w:val="00AD0788"/>
    <w:rsid w:val="00AD081E"/>
    <w:rsid w:val="00AD0B9D"/>
    <w:rsid w:val="00AD0C9A"/>
    <w:rsid w:val="00AD0D7E"/>
    <w:rsid w:val="00AD0D96"/>
    <w:rsid w:val="00AD0DFF"/>
    <w:rsid w:val="00AD0FED"/>
    <w:rsid w:val="00AD10B3"/>
    <w:rsid w:val="00AD1173"/>
    <w:rsid w:val="00AD11FA"/>
    <w:rsid w:val="00AD130D"/>
    <w:rsid w:val="00AD1320"/>
    <w:rsid w:val="00AD1376"/>
    <w:rsid w:val="00AD1B43"/>
    <w:rsid w:val="00AD1B76"/>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2A2"/>
    <w:rsid w:val="00AD4517"/>
    <w:rsid w:val="00AD451B"/>
    <w:rsid w:val="00AD4727"/>
    <w:rsid w:val="00AD474F"/>
    <w:rsid w:val="00AD4881"/>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270"/>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A78"/>
    <w:rsid w:val="00AE2C19"/>
    <w:rsid w:val="00AE2E9D"/>
    <w:rsid w:val="00AE2F43"/>
    <w:rsid w:val="00AE2FEB"/>
    <w:rsid w:val="00AE30B3"/>
    <w:rsid w:val="00AE3176"/>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17A"/>
    <w:rsid w:val="00AE7281"/>
    <w:rsid w:val="00AE729E"/>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507"/>
    <w:rsid w:val="00AF2810"/>
    <w:rsid w:val="00AF29BC"/>
    <w:rsid w:val="00AF2B4C"/>
    <w:rsid w:val="00AF2C13"/>
    <w:rsid w:val="00AF2C8D"/>
    <w:rsid w:val="00AF2D9C"/>
    <w:rsid w:val="00AF2F3D"/>
    <w:rsid w:val="00AF30ED"/>
    <w:rsid w:val="00AF33B8"/>
    <w:rsid w:val="00AF370C"/>
    <w:rsid w:val="00AF39E5"/>
    <w:rsid w:val="00AF3F7C"/>
    <w:rsid w:val="00AF3F7E"/>
    <w:rsid w:val="00AF3FE8"/>
    <w:rsid w:val="00AF427A"/>
    <w:rsid w:val="00AF43EA"/>
    <w:rsid w:val="00AF459B"/>
    <w:rsid w:val="00AF4C3D"/>
    <w:rsid w:val="00AF4E6C"/>
    <w:rsid w:val="00AF5021"/>
    <w:rsid w:val="00AF514C"/>
    <w:rsid w:val="00AF54CF"/>
    <w:rsid w:val="00AF58C8"/>
    <w:rsid w:val="00AF59DF"/>
    <w:rsid w:val="00AF59F8"/>
    <w:rsid w:val="00AF5B75"/>
    <w:rsid w:val="00AF5D7E"/>
    <w:rsid w:val="00AF5DBA"/>
    <w:rsid w:val="00AF5FF4"/>
    <w:rsid w:val="00AF6776"/>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130"/>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4D1"/>
    <w:rsid w:val="00B05735"/>
    <w:rsid w:val="00B05771"/>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61D"/>
    <w:rsid w:val="00B10943"/>
    <w:rsid w:val="00B10DA2"/>
    <w:rsid w:val="00B10E2E"/>
    <w:rsid w:val="00B10E89"/>
    <w:rsid w:val="00B1102A"/>
    <w:rsid w:val="00B1120D"/>
    <w:rsid w:val="00B1126C"/>
    <w:rsid w:val="00B1144D"/>
    <w:rsid w:val="00B11AD9"/>
    <w:rsid w:val="00B11B8D"/>
    <w:rsid w:val="00B11EC8"/>
    <w:rsid w:val="00B11ECD"/>
    <w:rsid w:val="00B12018"/>
    <w:rsid w:val="00B12152"/>
    <w:rsid w:val="00B12180"/>
    <w:rsid w:val="00B122F4"/>
    <w:rsid w:val="00B12530"/>
    <w:rsid w:val="00B12549"/>
    <w:rsid w:val="00B12875"/>
    <w:rsid w:val="00B12B0C"/>
    <w:rsid w:val="00B12B78"/>
    <w:rsid w:val="00B12C2B"/>
    <w:rsid w:val="00B12C3F"/>
    <w:rsid w:val="00B1308F"/>
    <w:rsid w:val="00B131CF"/>
    <w:rsid w:val="00B13456"/>
    <w:rsid w:val="00B136CE"/>
    <w:rsid w:val="00B137B0"/>
    <w:rsid w:val="00B13848"/>
    <w:rsid w:val="00B13B61"/>
    <w:rsid w:val="00B13C12"/>
    <w:rsid w:val="00B13CEA"/>
    <w:rsid w:val="00B14829"/>
    <w:rsid w:val="00B1485C"/>
    <w:rsid w:val="00B14908"/>
    <w:rsid w:val="00B149CD"/>
    <w:rsid w:val="00B14BEC"/>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69F"/>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19A"/>
    <w:rsid w:val="00B222C9"/>
    <w:rsid w:val="00B2282D"/>
    <w:rsid w:val="00B22933"/>
    <w:rsid w:val="00B2295D"/>
    <w:rsid w:val="00B23692"/>
    <w:rsid w:val="00B236CA"/>
    <w:rsid w:val="00B237F0"/>
    <w:rsid w:val="00B2381A"/>
    <w:rsid w:val="00B23900"/>
    <w:rsid w:val="00B23A27"/>
    <w:rsid w:val="00B23AFA"/>
    <w:rsid w:val="00B23DAB"/>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0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4AF"/>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A0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AB0"/>
    <w:rsid w:val="00B43B5F"/>
    <w:rsid w:val="00B43DEA"/>
    <w:rsid w:val="00B43F46"/>
    <w:rsid w:val="00B43F6B"/>
    <w:rsid w:val="00B4414F"/>
    <w:rsid w:val="00B44533"/>
    <w:rsid w:val="00B449C7"/>
    <w:rsid w:val="00B449CD"/>
    <w:rsid w:val="00B44E45"/>
    <w:rsid w:val="00B44E82"/>
    <w:rsid w:val="00B4514B"/>
    <w:rsid w:val="00B45197"/>
    <w:rsid w:val="00B4533D"/>
    <w:rsid w:val="00B45436"/>
    <w:rsid w:val="00B4549B"/>
    <w:rsid w:val="00B45552"/>
    <w:rsid w:val="00B45626"/>
    <w:rsid w:val="00B45846"/>
    <w:rsid w:val="00B45994"/>
    <w:rsid w:val="00B45C51"/>
    <w:rsid w:val="00B45C9E"/>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093"/>
    <w:rsid w:val="00B531BC"/>
    <w:rsid w:val="00B531DA"/>
    <w:rsid w:val="00B534CC"/>
    <w:rsid w:val="00B5373F"/>
    <w:rsid w:val="00B537D0"/>
    <w:rsid w:val="00B538D8"/>
    <w:rsid w:val="00B53A3D"/>
    <w:rsid w:val="00B53AA9"/>
    <w:rsid w:val="00B53CFA"/>
    <w:rsid w:val="00B53D71"/>
    <w:rsid w:val="00B53E83"/>
    <w:rsid w:val="00B53EE5"/>
    <w:rsid w:val="00B54291"/>
    <w:rsid w:val="00B5444F"/>
    <w:rsid w:val="00B54654"/>
    <w:rsid w:val="00B54978"/>
    <w:rsid w:val="00B5498F"/>
    <w:rsid w:val="00B54C3F"/>
    <w:rsid w:val="00B54CC2"/>
    <w:rsid w:val="00B550BE"/>
    <w:rsid w:val="00B550F2"/>
    <w:rsid w:val="00B552FB"/>
    <w:rsid w:val="00B55392"/>
    <w:rsid w:val="00B5540D"/>
    <w:rsid w:val="00B554BC"/>
    <w:rsid w:val="00B55801"/>
    <w:rsid w:val="00B55891"/>
    <w:rsid w:val="00B55CE3"/>
    <w:rsid w:val="00B566FE"/>
    <w:rsid w:val="00B56C3A"/>
    <w:rsid w:val="00B56C6F"/>
    <w:rsid w:val="00B56D8E"/>
    <w:rsid w:val="00B56FDC"/>
    <w:rsid w:val="00B5711C"/>
    <w:rsid w:val="00B57151"/>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B32"/>
    <w:rsid w:val="00B67C0D"/>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2DC7"/>
    <w:rsid w:val="00B732D2"/>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6E2"/>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DD5"/>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73"/>
    <w:rsid w:val="00B83DBC"/>
    <w:rsid w:val="00B83F6D"/>
    <w:rsid w:val="00B8432E"/>
    <w:rsid w:val="00B845C2"/>
    <w:rsid w:val="00B845D8"/>
    <w:rsid w:val="00B84735"/>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B"/>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49A"/>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A1"/>
    <w:rsid w:val="00BA5DCE"/>
    <w:rsid w:val="00BA5E66"/>
    <w:rsid w:val="00BA5F37"/>
    <w:rsid w:val="00BA5F5D"/>
    <w:rsid w:val="00BA616C"/>
    <w:rsid w:val="00BA634D"/>
    <w:rsid w:val="00BA6652"/>
    <w:rsid w:val="00BA6664"/>
    <w:rsid w:val="00BA66B8"/>
    <w:rsid w:val="00BA66EA"/>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42"/>
    <w:rsid w:val="00BB1FEE"/>
    <w:rsid w:val="00BB20C0"/>
    <w:rsid w:val="00BB2136"/>
    <w:rsid w:val="00BB227C"/>
    <w:rsid w:val="00BB233F"/>
    <w:rsid w:val="00BB24E3"/>
    <w:rsid w:val="00BB25C7"/>
    <w:rsid w:val="00BB26D3"/>
    <w:rsid w:val="00BB29CD"/>
    <w:rsid w:val="00BB2A99"/>
    <w:rsid w:val="00BB2E1E"/>
    <w:rsid w:val="00BB31B9"/>
    <w:rsid w:val="00BB3259"/>
    <w:rsid w:val="00BB3347"/>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8F"/>
    <w:rsid w:val="00BC392D"/>
    <w:rsid w:val="00BC3ABF"/>
    <w:rsid w:val="00BC3F34"/>
    <w:rsid w:val="00BC3F82"/>
    <w:rsid w:val="00BC4463"/>
    <w:rsid w:val="00BC468F"/>
    <w:rsid w:val="00BC481A"/>
    <w:rsid w:val="00BC49B1"/>
    <w:rsid w:val="00BC4A73"/>
    <w:rsid w:val="00BC4B7D"/>
    <w:rsid w:val="00BC4E75"/>
    <w:rsid w:val="00BC512B"/>
    <w:rsid w:val="00BC5314"/>
    <w:rsid w:val="00BC56AF"/>
    <w:rsid w:val="00BC57ED"/>
    <w:rsid w:val="00BC5BAE"/>
    <w:rsid w:val="00BC5C85"/>
    <w:rsid w:val="00BC5E32"/>
    <w:rsid w:val="00BC5E5A"/>
    <w:rsid w:val="00BC5E9B"/>
    <w:rsid w:val="00BC5FED"/>
    <w:rsid w:val="00BC652B"/>
    <w:rsid w:val="00BC6641"/>
    <w:rsid w:val="00BC6D11"/>
    <w:rsid w:val="00BC7433"/>
    <w:rsid w:val="00BC75D1"/>
    <w:rsid w:val="00BC765A"/>
    <w:rsid w:val="00BC7816"/>
    <w:rsid w:val="00BC7943"/>
    <w:rsid w:val="00BC7B29"/>
    <w:rsid w:val="00BC7BDC"/>
    <w:rsid w:val="00BC7EC2"/>
    <w:rsid w:val="00BD0362"/>
    <w:rsid w:val="00BD0431"/>
    <w:rsid w:val="00BD0736"/>
    <w:rsid w:val="00BD07A3"/>
    <w:rsid w:val="00BD07B0"/>
    <w:rsid w:val="00BD0800"/>
    <w:rsid w:val="00BD0BAE"/>
    <w:rsid w:val="00BD0CCD"/>
    <w:rsid w:val="00BD0CDD"/>
    <w:rsid w:val="00BD0EF8"/>
    <w:rsid w:val="00BD0F50"/>
    <w:rsid w:val="00BD0F7F"/>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48E"/>
    <w:rsid w:val="00BD594B"/>
    <w:rsid w:val="00BD5DB6"/>
    <w:rsid w:val="00BD5E46"/>
    <w:rsid w:val="00BD5F42"/>
    <w:rsid w:val="00BD5F5F"/>
    <w:rsid w:val="00BD6036"/>
    <w:rsid w:val="00BD6047"/>
    <w:rsid w:val="00BD630C"/>
    <w:rsid w:val="00BD64BF"/>
    <w:rsid w:val="00BD65C4"/>
    <w:rsid w:val="00BD678B"/>
    <w:rsid w:val="00BD679B"/>
    <w:rsid w:val="00BD68BE"/>
    <w:rsid w:val="00BD68BF"/>
    <w:rsid w:val="00BD6B27"/>
    <w:rsid w:val="00BD6DB1"/>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00"/>
    <w:rsid w:val="00BE121C"/>
    <w:rsid w:val="00BE1245"/>
    <w:rsid w:val="00BE140C"/>
    <w:rsid w:val="00BE15A0"/>
    <w:rsid w:val="00BE1A4A"/>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5A4"/>
    <w:rsid w:val="00BE788F"/>
    <w:rsid w:val="00BE7C40"/>
    <w:rsid w:val="00BE7DF5"/>
    <w:rsid w:val="00BF006D"/>
    <w:rsid w:val="00BF02C2"/>
    <w:rsid w:val="00BF068D"/>
    <w:rsid w:val="00BF081F"/>
    <w:rsid w:val="00BF0846"/>
    <w:rsid w:val="00BF09AC"/>
    <w:rsid w:val="00BF0AB0"/>
    <w:rsid w:val="00BF0B3C"/>
    <w:rsid w:val="00BF0C57"/>
    <w:rsid w:val="00BF0FFB"/>
    <w:rsid w:val="00BF10BC"/>
    <w:rsid w:val="00BF10C0"/>
    <w:rsid w:val="00BF10C8"/>
    <w:rsid w:val="00BF10D4"/>
    <w:rsid w:val="00BF11CA"/>
    <w:rsid w:val="00BF1221"/>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ABE"/>
    <w:rsid w:val="00BF4D30"/>
    <w:rsid w:val="00BF4EC7"/>
    <w:rsid w:val="00BF4FE0"/>
    <w:rsid w:val="00BF5035"/>
    <w:rsid w:val="00BF509E"/>
    <w:rsid w:val="00BF5410"/>
    <w:rsid w:val="00BF5755"/>
    <w:rsid w:val="00BF5CB5"/>
    <w:rsid w:val="00BF5CE8"/>
    <w:rsid w:val="00BF5D85"/>
    <w:rsid w:val="00BF5ED9"/>
    <w:rsid w:val="00BF5FD8"/>
    <w:rsid w:val="00BF607B"/>
    <w:rsid w:val="00BF629A"/>
    <w:rsid w:val="00BF64D6"/>
    <w:rsid w:val="00BF64F4"/>
    <w:rsid w:val="00BF65BB"/>
    <w:rsid w:val="00BF66C1"/>
    <w:rsid w:val="00BF6905"/>
    <w:rsid w:val="00BF6D65"/>
    <w:rsid w:val="00BF6E8D"/>
    <w:rsid w:val="00BF6EFA"/>
    <w:rsid w:val="00BF708C"/>
    <w:rsid w:val="00BF7148"/>
    <w:rsid w:val="00BF7576"/>
    <w:rsid w:val="00BF762A"/>
    <w:rsid w:val="00BF76CC"/>
    <w:rsid w:val="00BF7F47"/>
    <w:rsid w:val="00C00211"/>
    <w:rsid w:val="00C0043E"/>
    <w:rsid w:val="00C0060B"/>
    <w:rsid w:val="00C0092A"/>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12"/>
    <w:rsid w:val="00C0409A"/>
    <w:rsid w:val="00C040DE"/>
    <w:rsid w:val="00C040EB"/>
    <w:rsid w:val="00C0432C"/>
    <w:rsid w:val="00C045A7"/>
    <w:rsid w:val="00C045AB"/>
    <w:rsid w:val="00C04763"/>
    <w:rsid w:val="00C04DF4"/>
    <w:rsid w:val="00C04EB4"/>
    <w:rsid w:val="00C0515D"/>
    <w:rsid w:val="00C0518F"/>
    <w:rsid w:val="00C0523F"/>
    <w:rsid w:val="00C052C7"/>
    <w:rsid w:val="00C052D9"/>
    <w:rsid w:val="00C054D3"/>
    <w:rsid w:val="00C05C67"/>
    <w:rsid w:val="00C05CCC"/>
    <w:rsid w:val="00C05D2B"/>
    <w:rsid w:val="00C05DCD"/>
    <w:rsid w:val="00C05EFA"/>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B8E"/>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782"/>
    <w:rsid w:val="00C1286D"/>
    <w:rsid w:val="00C12945"/>
    <w:rsid w:val="00C12A80"/>
    <w:rsid w:val="00C12B5B"/>
    <w:rsid w:val="00C12BD7"/>
    <w:rsid w:val="00C12C08"/>
    <w:rsid w:val="00C12DB6"/>
    <w:rsid w:val="00C12EF8"/>
    <w:rsid w:val="00C12F78"/>
    <w:rsid w:val="00C130AE"/>
    <w:rsid w:val="00C131DE"/>
    <w:rsid w:val="00C132D9"/>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5FA0"/>
    <w:rsid w:val="00C1679C"/>
    <w:rsid w:val="00C16813"/>
    <w:rsid w:val="00C16824"/>
    <w:rsid w:val="00C168CE"/>
    <w:rsid w:val="00C16B21"/>
    <w:rsid w:val="00C16B9F"/>
    <w:rsid w:val="00C16C30"/>
    <w:rsid w:val="00C16FEB"/>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1A9"/>
    <w:rsid w:val="00C23307"/>
    <w:rsid w:val="00C23664"/>
    <w:rsid w:val="00C239A9"/>
    <w:rsid w:val="00C23D9F"/>
    <w:rsid w:val="00C23E52"/>
    <w:rsid w:val="00C241BD"/>
    <w:rsid w:val="00C242C4"/>
    <w:rsid w:val="00C24392"/>
    <w:rsid w:val="00C243D3"/>
    <w:rsid w:val="00C24701"/>
    <w:rsid w:val="00C24762"/>
    <w:rsid w:val="00C248EA"/>
    <w:rsid w:val="00C248FF"/>
    <w:rsid w:val="00C24962"/>
    <w:rsid w:val="00C24BC2"/>
    <w:rsid w:val="00C25161"/>
    <w:rsid w:val="00C25530"/>
    <w:rsid w:val="00C25624"/>
    <w:rsid w:val="00C256A9"/>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48"/>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9C"/>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79E"/>
    <w:rsid w:val="00C3780C"/>
    <w:rsid w:val="00C3792A"/>
    <w:rsid w:val="00C37CD1"/>
    <w:rsid w:val="00C37D27"/>
    <w:rsid w:val="00C402A7"/>
    <w:rsid w:val="00C402FF"/>
    <w:rsid w:val="00C403B0"/>
    <w:rsid w:val="00C40452"/>
    <w:rsid w:val="00C4074B"/>
    <w:rsid w:val="00C40805"/>
    <w:rsid w:val="00C408A3"/>
    <w:rsid w:val="00C40C08"/>
    <w:rsid w:val="00C40D9F"/>
    <w:rsid w:val="00C40E1F"/>
    <w:rsid w:val="00C411CE"/>
    <w:rsid w:val="00C41373"/>
    <w:rsid w:val="00C41797"/>
    <w:rsid w:val="00C419B3"/>
    <w:rsid w:val="00C41AD7"/>
    <w:rsid w:val="00C41C97"/>
    <w:rsid w:val="00C41CF1"/>
    <w:rsid w:val="00C42052"/>
    <w:rsid w:val="00C422CF"/>
    <w:rsid w:val="00C422F7"/>
    <w:rsid w:val="00C42806"/>
    <w:rsid w:val="00C42875"/>
    <w:rsid w:val="00C42A07"/>
    <w:rsid w:val="00C42B1D"/>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ED7"/>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40C"/>
    <w:rsid w:val="00C6387A"/>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37"/>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577B"/>
    <w:rsid w:val="00C861A2"/>
    <w:rsid w:val="00C861AA"/>
    <w:rsid w:val="00C86665"/>
    <w:rsid w:val="00C867FA"/>
    <w:rsid w:val="00C86CEF"/>
    <w:rsid w:val="00C86F3D"/>
    <w:rsid w:val="00C871F7"/>
    <w:rsid w:val="00C8764F"/>
    <w:rsid w:val="00C87665"/>
    <w:rsid w:val="00C876A8"/>
    <w:rsid w:val="00C879A0"/>
    <w:rsid w:val="00C87C07"/>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3FC"/>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B88"/>
    <w:rsid w:val="00C95C58"/>
    <w:rsid w:val="00C95C98"/>
    <w:rsid w:val="00C95DA9"/>
    <w:rsid w:val="00C9612C"/>
    <w:rsid w:val="00C9623E"/>
    <w:rsid w:val="00C9631C"/>
    <w:rsid w:val="00C96616"/>
    <w:rsid w:val="00C96664"/>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863"/>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1D8"/>
    <w:rsid w:val="00CA4283"/>
    <w:rsid w:val="00CA44F4"/>
    <w:rsid w:val="00CA4A34"/>
    <w:rsid w:val="00CA50BB"/>
    <w:rsid w:val="00CA510D"/>
    <w:rsid w:val="00CA5141"/>
    <w:rsid w:val="00CA5191"/>
    <w:rsid w:val="00CA529D"/>
    <w:rsid w:val="00CA52CE"/>
    <w:rsid w:val="00CA5318"/>
    <w:rsid w:val="00CA5501"/>
    <w:rsid w:val="00CA5797"/>
    <w:rsid w:val="00CA58F6"/>
    <w:rsid w:val="00CA5C0B"/>
    <w:rsid w:val="00CA5E1C"/>
    <w:rsid w:val="00CA5EFC"/>
    <w:rsid w:val="00CA6007"/>
    <w:rsid w:val="00CA6011"/>
    <w:rsid w:val="00CA6609"/>
    <w:rsid w:val="00CA66FA"/>
    <w:rsid w:val="00CA694D"/>
    <w:rsid w:val="00CA6ADA"/>
    <w:rsid w:val="00CA6B17"/>
    <w:rsid w:val="00CA6D2A"/>
    <w:rsid w:val="00CA6DC6"/>
    <w:rsid w:val="00CA71FC"/>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9DC"/>
    <w:rsid w:val="00CB2AE3"/>
    <w:rsid w:val="00CB2B3F"/>
    <w:rsid w:val="00CB2CE2"/>
    <w:rsid w:val="00CB2E56"/>
    <w:rsid w:val="00CB30EB"/>
    <w:rsid w:val="00CB3500"/>
    <w:rsid w:val="00CB36E4"/>
    <w:rsid w:val="00CB39B9"/>
    <w:rsid w:val="00CB4155"/>
    <w:rsid w:val="00CB428B"/>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58"/>
    <w:rsid w:val="00CB6C7D"/>
    <w:rsid w:val="00CB7395"/>
    <w:rsid w:val="00CB73DE"/>
    <w:rsid w:val="00CB7B24"/>
    <w:rsid w:val="00CB7BD4"/>
    <w:rsid w:val="00CB7C22"/>
    <w:rsid w:val="00CB7F80"/>
    <w:rsid w:val="00CC01C5"/>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64E"/>
    <w:rsid w:val="00CC491B"/>
    <w:rsid w:val="00CC4A76"/>
    <w:rsid w:val="00CC4AB6"/>
    <w:rsid w:val="00CC4D94"/>
    <w:rsid w:val="00CC4EBC"/>
    <w:rsid w:val="00CC52DE"/>
    <w:rsid w:val="00CC54E6"/>
    <w:rsid w:val="00CC578B"/>
    <w:rsid w:val="00CC5B07"/>
    <w:rsid w:val="00CC602E"/>
    <w:rsid w:val="00CC63BF"/>
    <w:rsid w:val="00CC6508"/>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026"/>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696"/>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749"/>
    <w:rsid w:val="00CE474F"/>
    <w:rsid w:val="00CE47C9"/>
    <w:rsid w:val="00CE4AC5"/>
    <w:rsid w:val="00CE4DAC"/>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21D2"/>
    <w:rsid w:val="00CF23F3"/>
    <w:rsid w:val="00CF2658"/>
    <w:rsid w:val="00CF29A7"/>
    <w:rsid w:val="00CF29C5"/>
    <w:rsid w:val="00CF29C7"/>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681"/>
    <w:rsid w:val="00CF5716"/>
    <w:rsid w:val="00CF57FC"/>
    <w:rsid w:val="00CF5ADE"/>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152"/>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CDB"/>
    <w:rsid w:val="00D0212C"/>
    <w:rsid w:val="00D025DC"/>
    <w:rsid w:val="00D027A2"/>
    <w:rsid w:val="00D028AF"/>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1B7"/>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8F8"/>
    <w:rsid w:val="00D079D1"/>
    <w:rsid w:val="00D079ED"/>
    <w:rsid w:val="00D07B8A"/>
    <w:rsid w:val="00D07CED"/>
    <w:rsid w:val="00D07DD8"/>
    <w:rsid w:val="00D07E6B"/>
    <w:rsid w:val="00D07F42"/>
    <w:rsid w:val="00D100C0"/>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34E"/>
    <w:rsid w:val="00D136B9"/>
    <w:rsid w:val="00D13CB4"/>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0B4"/>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6FF"/>
    <w:rsid w:val="00D227F8"/>
    <w:rsid w:val="00D22C29"/>
    <w:rsid w:val="00D22EA1"/>
    <w:rsid w:val="00D22F89"/>
    <w:rsid w:val="00D230D4"/>
    <w:rsid w:val="00D23208"/>
    <w:rsid w:val="00D2328F"/>
    <w:rsid w:val="00D23444"/>
    <w:rsid w:val="00D238F7"/>
    <w:rsid w:val="00D23AAA"/>
    <w:rsid w:val="00D23AB0"/>
    <w:rsid w:val="00D23AFE"/>
    <w:rsid w:val="00D2407C"/>
    <w:rsid w:val="00D24096"/>
    <w:rsid w:val="00D24332"/>
    <w:rsid w:val="00D24628"/>
    <w:rsid w:val="00D246A0"/>
    <w:rsid w:val="00D24726"/>
    <w:rsid w:val="00D24D76"/>
    <w:rsid w:val="00D24E3A"/>
    <w:rsid w:val="00D24FA1"/>
    <w:rsid w:val="00D25091"/>
    <w:rsid w:val="00D25181"/>
    <w:rsid w:val="00D251BA"/>
    <w:rsid w:val="00D252BB"/>
    <w:rsid w:val="00D25302"/>
    <w:rsid w:val="00D253B8"/>
    <w:rsid w:val="00D257AD"/>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B8"/>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80D"/>
    <w:rsid w:val="00D34CB8"/>
    <w:rsid w:val="00D34CFD"/>
    <w:rsid w:val="00D34E04"/>
    <w:rsid w:val="00D3506A"/>
    <w:rsid w:val="00D350E0"/>
    <w:rsid w:val="00D352EA"/>
    <w:rsid w:val="00D35383"/>
    <w:rsid w:val="00D353C0"/>
    <w:rsid w:val="00D355FF"/>
    <w:rsid w:val="00D357B7"/>
    <w:rsid w:val="00D359E4"/>
    <w:rsid w:val="00D35E1D"/>
    <w:rsid w:val="00D35FE3"/>
    <w:rsid w:val="00D36069"/>
    <w:rsid w:val="00D36100"/>
    <w:rsid w:val="00D36125"/>
    <w:rsid w:val="00D36697"/>
    <w:rsid w:val="00D36841"/>
    <w:rsid w:val="00D3697B"/>
    <w:rsid w:val="00D36998"/>
    <w:rsid w:val="00D36F46"/>
    <w:rsid w:val="00D370FF"/>
    <w:rsid w:val="00D3718D"/>
    <w:rsid w:val="00D3749A"/>
    <w:rsid w:val="00D37532"/>
    <w:rsid w:val="00D376C1"/>
    <w:rsid w:val="00D37829"/>
    <w:rsid w:val="00D3791B"/>
    <w:rsid w:val="00D3791C"/>
    <w:rsid w:val="00D37A5E"/>
    <w:rsid w:val="00D37AE9"/>
    <w:rsid w:val="00D37B22"/>
    <w:rsid w:val="00D37B58"/>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0B3"/>
    <w:rsid w:val="00D440B9"/>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6BF"/>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30B"/>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E0"/>
    <w:rsid w:val="00D614F3"/>
    <w:rsid w:val="00D61654"/>
    <w:rsid w:val="00D619DE"/>
    <w:rsid w:val="00D619E8"/>
    <w:rsid w:val="00D61A96"/>
    <w:rsid w:val="00D6253B"/>
    <w:rsid w:val="00D6276D"/>
    <w:rsid w:val="00D628CC"/>
    <w:rsid w:val="00D62B84"/>
    <w:rsid w:val="00D62D6A"/>
    <w:rsid w:val="00D62F6B"/>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2A"/>
    <w:rsid w:val="00D64B6D"/>
    <w:rsid w:val="00D64BC9"/>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926"/>
    <w:rsid w:val="00D81992"/>
    <w:rsid w:val="00D81AC3"/>
    <w:rsid w:val="00D81DAC"/>
    <w:rsid w:val="00D81F38"/>
    <w:rsid w:val="00D8203F"/>
    <w:rsid w:val="00D82111"/>
    <w:rsid w:val="00D821C9"/>
    <w:rsid w:val="00D821EB"/>
    <w:rsid w:val="00D826BE"/>
    <w:rsid w:val="00D826C5"/>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B78"/>
    <w:rsid w:val="00D85D89"/>
    <w:rsid w:val="00D8629F"/>
    <w:rsid w:val="00D8639B"/>
    <w:rsid w:val="00D86545"/>
    <w:rsid w:val="00D86571"/>
    <w:rsid w:val="00D86814"/>
    <w:rsid w:val="00D86837"/>
    <w:rsid w:val="00D86906"/>
    <w:rsid w:val="00D86BB2"/>
    <w:rsid w:val="00D86CBF"/>
    <w:rsid w:val="00D86F23"/>
    <w:rsid w:val="00D87064"/>
    <w:rsid w:val="00D874DF"/>
    <w:rsid w:val="00D87720"/>
    <w:rsid w:val="00D878A9"/>
    <w:rsid w:val="00D87C27"/>
    <w:rsid w:val="00D87C44"/>
    <w:rsid w:val="00D9046A"/>
    <w:rsid w:val="00D90478"/>
    <w:rsid w:val="00D90697"/>
    <w:rsid w:val="00D90854"/>
    <w:rsid w:val="00D90C04"/>
    <w:rsid w:val="00D90CE3"/>
    <w:rsid w:val="00D90D11"/>
    <w:rsid w:val="00D90F07"/>
    <w:rsid w:val="00D90F0B"/>
    <w:rsid w:val="00D9102C"/>
    <w:rsid w:val="00D91270"/>
    <w:rsid w:val="00D912B1"/>
    <w:rsid w:val="00D91494"/>
    <w:rsid w:val="00D91CB8"/>
    <w:rsid w:val="00D91EB0"/>
    <w:rsid w:val="00D91EF8"/>
    <w:rsid w:val="00D91F10"/>
    <w:rsid w:val="00D92173"/>
    <w:rsid w:val="00D9232E"/>
    <w:rsid w:val="00D925D4"/>
    <w:rsid w:val="00D9262A"/>
    <w:rsid w:val="00D92744"/>
    <w:rsid w:val="00D92800"/>
    <w:rsid w:val="00D9288D"/>
    <w:rsid w:val="00D92984"/>
    <w:rsid w:val="00D92B38"/>
    <w:rsid w:val="00D92DE5"/>
    <w:rsid w:val="00D92EB1"/>
    <w:rsid w:val="00D93161"/>
    <w:rsid w:val="00D9316C"/>
    <w:rsid w:val="00D93A84"/>
    <w:rsid w:val="00D93E34"/>
    <w:rsid w:val="00D9407E"/>
    <w:rsid w:val="00D940EB"/>
    <w:rsid w:val="00D9415C"/>
    <w:rsid w:val="00D9427E"/>
    <w:rsid w:val="00D9434A"/>
    <w:rsid w:val="00D94359"/>
    <w:rsid w:val="00D945F6"/>
    <w:rsid w:val="00D947E3"/>
    <w:rsid w:val="00D94C67"/>
    <w:rsid w:val="00D95290"/>
    <w:rsid w:val="00D952BA"/>
    <w:rsid w:val="00D9534A"/>
    <w:rsid w:val="00D953A1"/>
    <w:rsid w:val="00D954D3"/>
    <w:rsid w:val="00D95BB0"/>
    <w:rsid w:val="00D95C48"/>
    <w:rsid w:val="00D95D3C"/>
    <w:rsid w:val="00D96081"/>
    <w:rsid w:val="00D960FB"/>
    <w:rsid w:val="00D96351"/>
    <w:rsid w:val="00D964FD"/>
    <w:rsid w:val="00D96863"/>
    <w:rsid w:val="00D9692B"/>
    <w:rsid w:val="00D96B26"/>
    <w:rsid w:val="00D96B56"/>
    <w:rsid w:val="00D96CAD"/>
    <w:rsid w:val="00D96D74"/>
    <w:rsid w:val="00D96E63"/>
    <w:rsid w:val="00D97023"/>
    <w:rsid w:val="00D9712D"/>
    <w:rsid w:val="00D9713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10"/>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6E"/>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16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B3B"/>
    <w:rsid w:val="00DB1BA0"/>
    <w:rsid w:val="00DB1CE4"/>
    <w:rsid w:val="00DB23EC"/>
    <w:rsid w:val="00DB2417"/>
    <w:rsid w:val="00DB2426"/>
    <w:rsid w:val="00DB24EC"/>
    <w:rsid w:val="00DB29E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B7BBA"/>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DBA"/>
    <w:rsid w:val="00DD3E0B"/>
    <w:rsid w:val="00DD3F4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97D"/>
    <w:rsid w:val="00DD6CB5"/>
    <w:rsid w:val="00DD6EA0"/>
    <w:rsid w:val="00DD6F79"/>
    <w:rsid w:val="00DD6FA9"/>
    <w:rsid w:val="00DD77A6"/>
    <w:rsid w:val="00DD78FF"/>
    <w:rsid w:val="00DD7930"/>
    <w:rsid w:val="00DD7983"/>
    <w:rsid w:val="00DD7A40"/>
    <w:rsid w:val="00DD7C7F"/>
    <w:rsid w:val="00DD7D69"/>
    <w:rsid w:val="00DE0646"/>
    <w:rsid w:val="00DE06EE"/>
    <w:rsid w:val="00DE0858"/>
    <w:rsid w:val="00DE08B9"/>
    <w:rsid w:val="00DE0A70"/>
    <w:rsid w:val="00DE0B17"/>
    <w:rsid w:val="00DE0BFB"/>
    <w:rsid w:val="00DE0E0F"/>
    <w:rsid w:val="00DE1212"/>
    <w:rsid w:val="00DE154D"/>
    <w:rsid w:val="00DE1C50"/>
    <w:rsid w:val="00DE1E0A"/>
    <w:rsid w:val="00DE1F05"/>
    <w:rsid w:val="00DE1FF2"/>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E72"/>
    <w:rsid w:val="00DE3FC8"/>
    <w:rsid w:val="00DE4335"/>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B9"/>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E8B"/>
    <w:rsid w:val="00DF5FE3"/>
    <w:rsid w:val="00DF5FE6"/>
    <w:rsid w:val="00DF63D6"/>
    <w:rsid w:val="00DF673C"/>
    <w:rsid w:val="00DF67CC"/>
    <w:rsid w:val="00DF67D1"/>
    <w:rsid w:val="00DF696F"/>
    <w:rsid w:val="00DF6AD6"/>
    <w:rsid w:val="00DF6F29"/>
    <w:rsid w:val="00DF6F4C"/>
    <w:rsid w:val="00DF7479"/>
    <w:rsid w:val="00DF75F3"/>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97C"/>
    <w:rsid w:val="00E03A25"/>
    <w:rsid w:val="00E0423E"/>
    <w:rsid w:val="00E04542"/>
    <w:rsid w:val="00E04838"/>
    <w:rsid w:val="00E04B57"/>
    <w:rsid w:val="00E04BC2"/>
    <w:rsid w:val="00E04DBE"/>
    <w:rsid w:val="00E04E30"/>
    <w:rsid w:val="00E04E75"/>
    <w:rsid w:val="00E04FA9"/>
    <w:rsid w:val="00E05676"/>
    <w:rsid w:val="00E0576C"/>
    <w:rsid w:val="00E05F2C"/>
    <w:rsid w:val="00E06223"/>
    <w:rsid w:val="00E0640A"/>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3E6"/>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127"/>
    <w:rsid w:val="00E1413C"/>
    <w:rsid w:val="00E1425A"/>
    <w:rsid w:val="00E14339"/>
    <w:rsid w:val="00E1434D"/>
    <w:rsid w:val="00E143F4"/>
    <w:rsid w:val="00E144F4"/>
    <w:rsid w:val="00E145B8"/>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0C3"/>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145"/>
    <w:rsid w:val="00E268DD"/>
    <w:rsid w:val="00E26C6F"/>
    <w:rsid w:val="00E26C85"/>
    <w:rsid w:val="00E26D80"/>
    <w:rsid w:val="00E270DF"/>
    <w:rsid w:val="00E27119"/>
    <w:rsid w:val="00E2722F"/>
    <w:rsid w:val="00E2759F"/>
    <w:rsid w:val="00E2762F"/>
    <w:rsid w:val="00E277D3"/>
    <w:rsid w:val="00E27F4A"/>
    <w:rsid w:val="00E30122"/>
    <w:rsid w:val="00E301F6"/>
    <w:rsid w:val="00E3026E"/>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9E9"/>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5E3"/>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DA"/>
    <w:rsid w:val="00E60CE5"/>
    <w:rsid w:val="00E60D40"/>
    <w:rsid w:val="00E60F31"/>
    <w:rsid w:val="00E6172D"/>
    <w:rsid w:val="00E61879"/>
    <w:rsid w:val="00E618E6"/>
    <w:rsid w:val="00E619AC"/>
    <w:rsid w:val="00E61ECF"/>
    <w:rsid w:val="00E62010"/>
    <w:rsid w:val="00E62059"/>
    <w:rsid w:val="00E622D6"/>
    <w:rsid w:val="00E6234F"/>
    <w:rsid w:val="00E62434"/>
    <w:rsid w:val="00E62440"/>
    <w:rsid w:val="00E625DA"/>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BA0"/>
    <w:rsid w:val="00E67C75"/>
    <w:rsid w:val="00E67CC2"/>
    <w:rsid w:val="00E67D68"/>
    <w:rsid w:val="00E67FA5"/>
    <w:rsid w:val="00E70086"/>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945"/>
    <w:rsid w:val="00E73A23"/>
    <w:rsid w:val="00E73A6A"/>
    <w:rsid w:val="00E73B7D"/>
    <w:rsid w:val="00E73BCE"/>
    <w:rsid w:val="00E742E0"/>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81B"/>
    <w:rsid w:val="00E81B51"/>
    <w:rsid w:val="00E81C75"/>
    <w:rsid w:val="00E81EA8"/>
    <w:rsid w:val="00E81EBE"/>
    <w:rsid w:val="00E81EE3"/>
    <w:rsid w:val="00E81F59"/>
    <w:rsid w:val="00E8202A"/>
    <w:rsid w:val="00E82053"/>
    <w:rsid w:val="00E8207C"/>
    <w:rsid w:val="00E824CF"/>
    <w:rsid w:val="00E82584"/>
    <w:rsid w:val="00E825AA"/>
    <w:rsid w:val="00E82681"/>
    <w:rsid w:val="00E827A1"/>
    <w:rsid w:val="00E827B6"/>
    <w:rsid w:val="00E82975"/>
    <w:rsid w:val="00E829D7"/>
    <w:rsid w:val="00E82F73"/>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6C3"/>
    <w:rsid w:val="00E928E0"/>
    <w:rsid w:val="00E92A01"/>
    <w:rsid w:val="00E92C76"/>
    <w:rsid w:val="00E931EE"/>
    <w:rsid w:val="00E93260"/>
    <w:rsid w:val="00E9354A"/>
    <w:rsid w:val="00E936BA"/>
    <w:rsid w:val="00E93836"/>
    <w:rsid w:val="00E93ABB"/>
    <w:rsid w:val="00E93BE8"/>
    <w:rsid w:val="00E93E10"/>
    <w:rsid w:val="00E9409F"/>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B0537"/>
    <w:rsid w:val="00EB06CB"/>
    <w:rsid w:val="00EB06E2"/>
    <w:rsid w:val="00EB0892"/>
    <w:rsid w:val="00EB0A0C"/>
    <w:rsid w:val="00EB0A29"/>
    <w:rsid w:val="00EB0E08"/>
    <w:rsid w:val="00EB1035"/>
    <w:rsid w:val="00EB121A"/>
    <w:rsid w:val="00EB144D"/>
    <w:rsid w:val="00EB1519"/>
    <w:rsid w:val="00EB166D"/>
    <w:rsid w:val="00EB181E"/>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B7E"/>
    <w:rsid w:val="00EB5BFA"/>
    <w:rsid w:val="00EB608B"/>
    <w:rsid w:val="00EB63C7"/>
    <w:rsid w:val="00EB67D2"/>
    <w:rsid w:val="00EB689E"/>
    <w:rsid w:val="00EB68A5"/>
    <w:rsid w:val="00EB6A12"/>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B54"/>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71A"/>
    <w:rsid w:val="00EC37FC"/>
    <w:rsid w:val="00EC3F19"/>
    <w:rsid w:val="00EC4050"/>
    <w:rsid w:val="00EC405C"/>
    <w:rsid w:val="00EC40F4"/>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324"/>
    <w:rsid w:val="00ED2383"/>
    <w:rsid w:val="00ED23A0"/>
    <w:rsid w:val="00ED25A2"/>
    <w:rsid w:val="00ED276D"/>
    <w:rsid w:val="00ED27FB"/>
    <w:rsid w:val="00ED2801"/>
    <w:rsid w:val="00ED28DF"/>
    <w:rsid w:val="00ED2B04"/>
    <w:rsid w:val="00ED2B2A"/>
    <w:rsid w:val="00ED2D2B"/>
    <w:rsid w:val="00ED33AA"/>
    <w:rsid w:val="00ED38C3"/>
    <w:rsid w:val="00ED3A83"/>
    <w:rsid w:val="00ED3AB5"/>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8DB"/>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01"/>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E77"/>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3E7"/>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12"/>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6CE"/>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5F0"/>
    <w:rsid w:val="00F016EA"/>
    <w:rsid w:val="00F0175D"/>
    <w:rsid w:val="00F0177E"/>
    <w:rsid w:val="00F0182A"/>
    <w:rsid w:val="00F01A73"/>
    <w:rsid w:val="00F01BC6"/>
    <w:rsid w:val="00F01DEE"/>
    <w:rsid w:val="00F01E5F"/>
    <w:rsid w:val="00F01E86"/>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07F2E"/>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D2B"/>
    <w:rsid w:val="00F13DCE"/>
    <w:rsid w:val="00F13DDD"/>
    <w:rsid w:val="00F13E6C"/>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1D80"/>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0E78"/>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6A"/>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C7F"/>
    <w:rsid w:val="00F37E5B"/>
    <w:rsid w:val="00F37EBC"/>
    <w:rsid w:val="00F37F1B"/>
    <w:rsid w:val="00F401DC"/>
    <w:rsid w:val="00F40227"/>
    <w:rsid w:val="00F40578"/>
    <w:rsid w:val="00F40589"/>
    <w:rsid w:val="00F405E1"/>
    <w:rsid w:val="00F40773"/>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175"/>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BC"/>
    <w:rsid w:val="00F46F56"/>
    <w:rsid w:val="00F47646"/>
    <w:rsid w:val="00F476F5"/>
    <w:rsid w:val="00F47A4A"/>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905"/>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34"/>
    <w:rsid w:val="00F657A1"/>
    <w:rsid w:val="00F65A00"/>
    <w:rsid w:val="00F65B2D"/>
    <w:rsid w:val="00F65BF8"/>
    <w:rsid w:val="00F65CD9"/>
    <w:rsid w:val="00F65E78"/>
    <w:rsid w:val="00F65F53"/>
    <w:rsid w:val="00F662CB"/>
    <w:rsid w:val="00F66486"/>
    <w:rsid w:val="00F66624"/>
    <w:rsid w:val="00F6691C"/>
    <w:rsid w:val="00F66A32"/>
    <w:rsid w:val="00F66CF4"/>
    <w:rsid w:val="00F66E59"/>
    <w:rsid w:val="00F66EBA"/>
    <w:rsid w:val="00F66FD1"/>
    <w:rsid w:val="00F6706F"/>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560"/>
    <w:rsid w:val="00F7266D"/>
    <w:rsid w:val="00F727A0"/>
    <w:rsid w:val="00F72843"/>
    <w:rsid w:val="00F72A21"/>
    <w:rsid w:val="00F72A52"/>
    <w:rsid w:val="00F72A7A"/>
    <w:rsid w:val="00F72B2B"/>
    <w:rsid w:val="00F72B6B"/>
    <w:rsid w:val="00F72B9E"/>
    <w:rsid w:val="00F72BCB"/>
    <w:rsid w:val="00F73530"/>
    <w:rsid w:val="00F73549"/>
    <w:rsid w:val="00F736EA"/>
    <w:rsid w:val="00F73C2D"/>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6FCA"/>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1B7F"/>
    <w:rsid w:val="00F822C3"/>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5A9"/>
    <w:rsid w:val="00F916FD"/>
    <w:rsid w:val="00F91A67"/>
    <w:rsid w:val="00F91D59"/>
    <w:rsid w:val="00F91DAF"/>
    <w:rsid w:val="00F921CD"/>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5C"/>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84A"/>
    <w:rsid w:val="00FA0A17"/>
    <w:rsid w:val="00FA0A5F"/>
    <w:rsid w:val="00FA0DAB"/>
    <w:rsid w:val="00FA0F7E"/>
    <w:rsid w:val="00FA0F9D"/>
    <w:rsid w:val="00FA12FF"/>
    <w:rsid w:val="00FA151D"/>
    <w:rsid w:val="00FA1795"/>
    <w:rsid w:val="00FA1AF8"/>
    <w:rsid w:val="00FA1B17"/>
    <w:rsid w:val="00FA1B52"/>
    <w:rsid w:val="00FA1E6A"/>
    <w:rsid w:val="00FA1EBA"/>
    <w:rsid w:val="00FA20E4"/>
    <w:rsid w:val="00FA22C1"/>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6D0"/>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3E2"/>
    <w:rsid w:val="00FB156A"/>
    <w:rsid w:val="00FB17D2"/>
    <w:rsid w:val="00FB190F"/>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730"/>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9A"/>
    <w:rsid w:val="00FC28AB"/>
    <w:rsid w:val="00FC2B88"/>
    <w:rsid w:val="00FC2D4D"/>
    <w:rsid w:val="00FC2F09"/>
    <w:rsid w:val="00FC376C"/>
    <w:rsid w:val="00FC38AE"/>
    <w:rsid w:val="00FC3967"/>
    <w:rsid w:val="00FC3AEE"/>
    <w:rsid w:val="00FC3B87"/>
    <w:rsid w:val="00FC4252"/>
    <w:rsid w:val="00FC4265"/>
    <w:rsid w:val="00FC46AD"/>
    <w:rsid w:val="00FC4855"/>
    <w:rsid w:val="00FC48CB"/>
    <w:rsid w:val="00FC4921"/>
    <w:rsid w:val="00FC4962"/>
    <w:rsid w:val="00FC4BD6"/>
    <w:rsid w:val="00FC4DED"/>
    <w:rsid w:val="00FC5089"/>
    <w:rsid w:val="00FC5117"/>
    <w:rsid w:val="00FC5222"/>
    <w:rsid w:val="00FC5231"/>
    <w:rsid w:val="00FC535C"/>
    <w:rsid w:val="00FC54C3"/>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4C"/>
    <w:rsid w:val="00FC6EF2"/>
    <w:rsid w:val="00FC709A"/>
    <w:rsid w:val="00FC70E4"/>
    <w:rsid w:val="00FC767D"/>
    <w:rsid w:val="00FC7846"/>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4FED"/>
    <w:rsid w:val="00FD531A"/>
    <w:rsid w:val="00FD5342"/>
    <w:rsid w:val="00FD5417"/>
    <w:rsid w:val="00FD54F2"/>
    <w:rsid w:val="00FD55E8"/>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00"/>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480"/>
    <w:rsid w:val="00FE1793"/>
    <w:rsid w:val="00FE1BAA"/>
    <w:rsid w:val="00FE1BCA"/>
    <w:rsid w:val="00FE1C4E"/>
    <w:rsid w:val="00FE1DA0"/>
    <w:rsid w:val="00FE1DC0"/>
    <w:rsid w:val="00FE1F30"/>
    <w:rsid w:val="00FE2168"/>
    <w:rsid w:val="00FE22C1"/>
    <w:rsid w:val="00FE23EA"/>
    <w:rsid w:val="00FE2623"/>
    <w:rsid w:val="00FE2FB8"/>
    <w:rsid w:val="00FE30F1"/>
    <w:rsid w:val="00FE31FB"/>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081"/>
    <w:rsid w:val="00FE5363"/>
    <w:rsid w:val="00FE54B4"/>
    <w:rsid w:val="00FE54E9"/>
    <w:rsid w:val="00FE5A49"/>
    <w:rsid w:val="00FE5A58"/>
    <w:rsid w:val="00FE5B1F"/>
    <w:rsid w:val="00FE5C4C"/>
    <w:rsid w:val="00FE5E7B"/>
    <w:rsid w:val="00FE60C5"/>
    <w:rsid w:val="00FE61DE"/>
    <w:rsid w:val="00FE6274"/>
    <w:rsid w:val="00FE62C2"/>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1AF"/>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2A4"/>
    <w:rsid w:val="00FF5347"/>
    <w:rsid w:val="00FF5498"/>
    <w:rsid w:val="00FF562B"/>
    <w:rsid w:val="00FF56AC"/>
    <w:rsid w:val="00FF58F9"/>
    <w:rsid w:val="00FF5A93"/>
    <w:rsid w:val="00FF5AA1"/>
    <w:rsid w:val="00FF5C50"/>
    <w:rsid w:val="00FF5CF4"/>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0FF7F4E"/>
    <w:rsid w:val="01DED77C"/>
    <w:rsid w:val="02021D01"/>
    <w:rsid w:val="02696EC4"/>
    <w:rsid w:val="04E6D6C1"/>
    <w:rsid w:val="0538D140"/>
    <w:rsid w:val="05C63442"/>
    <w:rsid w:val="05CF21F6"/>
    <w:rsid w:val="05D1229D"/>
    <w:rsid w:val="065B33A4"/>
    <w:rsid w:val="06E87F81"/>
    <w:rsid w:val="08526571"/>
    <w:rsid w:val="08A90C41"/>
    <w:rsid w:val="0A4225B3"/>
    <w:rsid w:val="0BA8BD3B"/>
    <w:rsid w:val="0BB83669"/>
    <w:rsid w:val="0C79B10A"/>
    <w:rsid w:val="0CDE4557"/>
    <w:rsid w:val="0D5772A9"/>
    <w:rsid w:val="0D5E60A4"/>
    <w:rsid w:val="0DC14A11"/>
    <w:rsid w:val="0E0500BD"/>
    <w:rsid w:val="0E5306FE"/>
    <w:rsid w:val="0E7239B8"/>
    <w:rsid w:val="0E903B5A"/>
    <w:rsid w:val="0F9805AA"/>
    <w:rsid w:val="112F7666"/>
    <w:rsid w:val="116E62A3"/>
    <w:rsid w:val="11CF7163"/>
    <w:rsid w:val="11EA5E15"/>
    <w:rsid w:val="13476A55"/>
    <w:rsid w:val="1388743C"/>
    <w:rsid w:val="13A10852"/>
    <w:rsid w:val="13C5C58C"/>
    <w:rsid w:val="14285217"/>
    <w:rsid w:val="14704CBC"/>
    <w:rsid w:val="1560FB07"/>
    <w:rsid w:val="15AF0477"/>
    <w:rsid w:val="17D05119"/>
    <w:rsid w:val="182E3428"/>
    <w:rsid w:val="182F3C1B"/>
    <w:rsid w:val="189C45C3"/>
    <w:rsid w:val="19102DFB"/>
    <w:rsid w:val="19E67C8B"/>
    <w:rsid w:val="1A637066"/>
    <w:rsid w:val="1B3F8EA6"/>
    <w:rsid w:val="1B866F11"/>
    <w:rsid w:val="1CABBB88"/>
    <w:rsid w:val="1CC143FE"/>
    <w:rsid w:val="1D5D6F13"/>
    <w:rsid w:val="1E50EDE2"/>
    <w:rsid w:val="1EBF7E99"/>
    <w:rsid w:val="1EF25D70"/>
    <w:rsid w:val="1F3B319B"/>
    <w:rsid w:val="1F8535A3"/>
    <w:rsid w:val="1F880755"/>
    <w:rsid w:val="1F952650"/>
    <w:rsid w:val="1FEB024C"/>
    <w:rsid w:val="20452380"/>
    <w:rsid w:val="20482D40"/>
    <w:rsid w:val="21C765CD"/>
    <w:rsid w:val="21DB1FB3"/>
    <w:rsid w:val="2310773A"/>
    <w:rsid w:val="234DDBA8"/>
    <w:rsid w:val="24294692"/>
    <w:rsid w:val="24CB7704"/>
    <w:rsid w:val="252859B3"/>
    <w:rsid w:val="253C9758"/>
    <w:rsid w:val="26C72DEB"/>
    <w:rsid w:val="270703A5"/>
    <w:rsid w:val="27758812"/>
    <w:rsid w:val="277D5CE7"/>
    <w:rsid w:val="28D91B72"/>
    <w:rsid w:val="290D0B78"/>
    <w:rsid w:val="2969444A"/>
    <w:rsid w:val="29845BCD"/>
    <w:rsid w:val="29865B15"/>
    <w:rsid w:val="29960E93"/>
    <w:rsid w:val="29D06DE6"/>
    <w:rsid w:val="29E6A486"/>
    <w:rsid w:val="2A21370B"/>
    <w:rsid w:val="2BD604E3"/>
    <w:rsid w:val="2BD67AE4"/>
    <w:rsid w:val="2C3C24F5"/>
    <w:rsid w:val="2DA368BE"/>
    <w:rsid w:val="2DE3CEB5"/>
    <w:rsid w:val="2EAC7896"/>
    <w:rsid w:val="2F6A61FF"/>
    <w:rsid w:val="2F987C91"/>
    <w:rsid w:val="2FCE23AF"/>
    <w:rsid w:val="303B59F4"/>
    <w:rsid w:val="303D61C0"/>
    <w:rsid w:val="304C4401"/>
    <w:rsid w:val="30DA77B1"/>
    <w:rsid w:val="30ED0203"/>
    <w:rsid w:val="31200612"/>
    <w:rsid w:val="314638EC"/>
    <w:rsid w:val="32A18FDF"/>
    <w:rsid w:val="32A26D47"/>
    <w:rsid w:val="33271F2F"/>
    <w:rsid w:val="336B566A"/>
    <w:rsid w:val="356D7CED"/>
    <w:rsid w:val="35C3BAC8"/>
    <w:rsid w:val="36A20049"/>
    <w:rsid w:val="36B8E89F"/>
    <w:rsid w:val="38320CF5"/>
    <w:rsid w:val="3837F74B"/>
    <w:rsid w:val="38B84E2F"/>
    <w:rsid w:val="3A700F9B"/>
    <w:rsid w:val="3A7F4916"/>
    <w:rsid w:val="3A844340"/>
    <w:rsid w:val="3A92DAB1"/>
    <w:rsid w:val="3B37D419"/>
    <w:rsid w:val="3BA42EA5"/>
    <w:rsid w:val="3C415ACC"/>
    <w:rsid w:val="3CECA4AB"/>
    <w:rsid w:val="3D935FDD"/>
    <w:rsid w:val="3DF2732B"/>
    <w:rsid w:val="3ED13E42"/>
    <w:rsid w:val="3F0A1DC7"/>
    <w:rsid w:val="40146637"/>
    <w:rsid w:val="413A4BDC"/>
    <w:rsid w:val="419A59FF"/>
    <w:rsid w:val="419F3A07"/>
    <w:rsid w:val="41F55DB1"/>
    <w:rsid w:val="4442AEC5"/>
    <w:rsid w:val="44BB00E5"/>
    <w:rsid w:val="44EC3E8B"/>
    <w:rsid w:val="453C2351"/>
    <w:rsid w:val="45703651"/>
    <w:rsid w:val="460B7B57"/>
    <w:rsid w:val="46F2A759"/>
    <w:rsid w:val="476A34CD"/>
    <w:rsid w:val="481C13D4"/>
    <w:rsid w:val="493263FB"/>
    <w:rsid w:val="49AC22D4"/>
    <w:rsid w:val="49D51540"/>
    <w:rsid w:val="4AC8121D"/>
    <w:rsid w:val="4B76AF12"/>
    <w:rsid w:val="4C42693A"/>
    <w:rsid w:val="4CA33E46"/>
    <w:rsid w:val="4DC5F6F9"/>
    <w:rsid w:val="4E3F4EE8"/>
    <w:rsid w:val="4E717710"/>
    <w:rsid w:val="4EC13EC5"/>
    <w:rsid w:val="50322E89"/>
    <w:rsid w:val="50325306"/>
    <w:rsid w:val="50DF214B"/>
    <w:rsid w:val="5145561C"/>
    <w:rsid w:val="517954AC"/>
    <w:rsid w:val="51D31C3A"/>
    <w:rsid w:val="51E258D9"/>
    <w:rsid w:val="52122152"/>
    <w:rsid w:val="52990285"/>
    <w:rsid w:val="53697A19"/>
    <w:rsid w:val="538BF170"/>
    <w:rsid w:val="544C689C"/>
    <w:rsid w:val="549B1426"/>
    <w:rsid w:val="550B7BCD"/>
    <w:rsid w:val="551D3A6C"/>
    <w:rsid w:val="56EC6B61"/>
    <w:rsid w:val="57AA177E"/>
    <w:rsid w:val="57C842A9"/>
    <w:rsid w:val="587062C5"/>
    <w:rsid w:val="58E32CB8"/>
    <w:rsid w:val="58FB4FA2"/>
    <w:rsid w:val="59E52C89"/>
    <w:rsid w:val="59FBB485"/>
    <w:rsid w:val="5A0D785E"/>
    <w:rsid w:val="5A1B3D34"/>
    <w:rsid w:val="5ACC277D"/>
    <w:rsid w:val="5CC2050A"/>
    <w:rsid w:val="5D20F448"/>
    <w:rsid w:val="5DA22327"/>
    <w:rsid w:val="5DC40BE4"/>
    <w:rsid w:val="5E7310EA"/>
    <w:rsid w:val="5E8A00F0"/>
    <w:rsid w:val="5F1E5A29"/>
    <w:rsid w:val="5F3A71B0"/>
    <w:rsid w:val="5F5E5A8E"/>
    <w:rsid w:val="60627C4E"/>
    <w:rsid w:val="606E336A"/>
    <w:rsid w:val="612D8ACD"/>
    <w:rsid w:val="61864F5E"/>
    <w:rsid w:val="63686EB1"/>
    <w:rsid w:val="64DB02E9"/>
    <w:rsid w:val="65376485"/>
    <w:rsid w:val="654B7EFF"/>
    <w:rsid w:val="65A94C81"/>
    <w:rsid w:val="663210CC"/>
    <w:rsid w:val="666F6ED8"/>
    <w:rsid w:val="6690FD3B"/>
    <w:rsid w:val="6778E56F"/>
    <w:rsid w:val="677A2D87"/>
    <w:rsid w:val="68086337"/>
    <w:rsid w:val="69623364"/>
    <w:rsid w:val="6A2D5543"/>
    <w:rsid w:val="6AA05661"/>
    <w:rsid w:val="6B4449AB"/>
    <w:rsid w:val="6B53DBCA"/>
    <w:rsid w:val="6B9BF7ED"/>
    <w:rsid w:val="6B9D6229"/>
    <w:rsid w:val="6D2F2EC0"/>
    <w:rsid w:val="6E515638"/>
    <w:rsid w:val="6ED45158"/>
    <w:rsid w:val="6EDA7898"/>
    <w:rsid w:val="6F4321F7"/>
    <w:rsid w:val="700B10EC"/>
    <w:rsid w:val="706ED0A2"/>
    <w:rsid w:val="70980F77"/>
    <w:rsid w:val="71F35FC4"/>
    <w:rsid w:val="72006F77"/>
    <w:rsid w:val="724CC9D2"/>
    <w:rsid w:val="7285D3F1"/>
    <w:rsid w:val="728B7EAF"/>
    <w:rsid w:val="73D77284"/>
    <w:rsid w:val="751C109C"/>
    <w:rsid w:val="760D6CB9"/>
    <w:rsid w:val="76565253"/>
    <w:rsid w:val="76A836B2"/>
    <w:rsid w:val="77E51D73"/>
    <w:rsid w:val="77EA3AB4"/>
    <w:rsid w:val="79AB24F8"/>
    <w:rsid w:val="79CC99E8"/>
    <w:rsid w:val="79D02C81"/>
    <w:rsid w:val="7A6A0258"/>
    <w:rsid w:val="7A9727A9"/>
    <w:rsid w:val="7AEA6BC4"/>
    <w:rsid w:val="7B5E4C8A"/>
    <w:rsid w:val="7C214608"/>
    <w:rsid w:val="7C503DF6"/>
    <w:rsid w:val="7CDB5265"/>
    <w:rsid w:val="7DA31BB1"/>
    <w:rsid w:val="7EABEFCD"/>
    <w:rsid w:val="7ED20385"/>
    <w:rsid w:val="7EE6828D"/>
    <w:rsid w:val="7F3F0686"/>
    <w:rsid w:val="7FA3559F"/>
    <w:rsid w:val="7FF4279C"/>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3"/>
    <w:next w:val="1"/>
    <w:link w:val="105"/>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5"/>
    <w:link w:val="141"/>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outlineLvl w:val="2"/>
    </w:pPr>
    <w:rPr>
      <w:sz w:val="28"/>
    </w:rPr>
  </w:style>
  <w:style w:type="paragraph" w:styleId="6">
    <w:name w:val="heading 4"/>
    <w:basedOn w:val="5"/>
    <w:next w:val="1"/>
    <w:link w:val="9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2">
    <w:name w:val="Default Paragraph Font"/>
    <w:semiHidden/>
    <w:unhideWhenUsed/>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styleId="3">
    <w:name w:val="header"/>
    <w:link w:val="113"/>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2"/>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5"/>
    <w:qFormat/>
    <w:uiPriority w:val="35"/>
    <w:pPr>
      <w:spacing w:before="120" w:after="120"/>
    </w:pPr>
    <w:rPr>
      <w:b/>
      <w:lang w:val="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rPr>
      <w:rFonts w:eastAsia="MS Mincho"/>
    </w:rPr>
  </w:style>
  <w:style w:type="paragraph" w:styleId="32">
    <w:name w:val="Body Text"/>
    <w:basedOn w:val="1"/>
    <w:link w:val="107"/>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50"/>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before="120" w:line="280" w:lineRule="atLeast"/>
      <w:ind w:left="1800"/>
    </w:pPr>
    <w:rPr>
      <w:rFonts w:ascii="Bookman Old Style" w:hAnsi="Bookman Old Style" w:eastAsia="Times New Roman"/>
      <w:lang w:eastAsia="en-GB"/>
    </w:rPr>
  </w:style>
  <w:style w:type="paragraph" w:styleId="39">
    <w:name w:val="footnote text"/>
    <w:basedOn w:val="1"/>
    <w:semiHidden/>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rPr>
      <w:rFonts w:eastAsia="MS Mincho"/>
      <w:color w:val="FFFF00"/>
      <w:lang w:eastAsia="ja-JP"/>
    </w:rPr>
  </w:style>
  <w:style w:type="paragraph" w:styleId="44">
    <w:name w:val="HTML Preformatted"/>
    <w:basedOn w:val="1"/>
    <w:link w:val="13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45">
    <w:name w:val="Normal (Web)"/>
    <w:basedOn w:val="1"/>
    <w:unhideWhenUsed/>
    <w:qFormat/>
    <w:uiPriority w:val="99"/>
    <w:pPr>
      <w:spacing w:before="100" w:beforeAutospacing="1" w:after="100" w:afterAutospacing="1"/>
    </w:pPr>
    <w:rPr>
      <w:rFonts w:ascii="宋体" w:hAnsi="宋体" w:cs="宋体"/>
      <w:sz w:val="24"/>
      <w:szCs w:val="24"/>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Title"/>
    <w:basedOn w:val="1"/>
    <w:next w:val="1"/>
    <w:link w:val="161"/>
    <w:qFormat/>
    <w:uiPriority w:val="10"/>
    <w:pPr>
      <w:spacing w:before="240" w:after="60"/>
      <w:ind w:left="1701" w:hanging="1701"/>
      <w:outlineLvl w:val="0"/>
    </w:pPr>
    <w:rPr>
      <w:rFonts w:ascii="Arial" w:hAnsi="Arial" w:cs="Arial"/>
      <w:b/>
      <w:bCs/>
      <w:kern w:val="28"/>
      <w:lang w:val="en-GB"/>
    </w:rPr>
  </w:style>
  <w:style w:type="paragraph" w:styleId="49">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1">
    <w:name w:val="Table Grid"/>
    <w:basedOn w:val="5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AH"/>
    <w:basedOn w:val="62"/>
    <w:link w:val="146"/>
    <w:qFormat/>
    <w:uiPriority w:val="0"/>
    <w:rPr>
      <w:b/>
    </w:rPr>
  </w:style>
  <w:style w:type="paragraph" w:customStyle="1" w:styleId="62">
    <w:name w:val="TAC"/>
    <w:basedOn w:val="63"/>
    <w:link w:val="144"/>
    <w:qFormat/>
    <w:uiPriority w:val="0"/>
    <w:pPr>
      <w:jc w:val="center"/>
    </w:pPr>
  </w:style>
  <w:style w:type="paragraph" w:customStyle="1" w:styleId="63">
    <w:name w:val="TAL"/>
    <w:basedOn w:val="1"/>
    <w:link w:val="111"/>
    <w:qFormat/>
    <w:uiPriority w:val="0"/>
    <w:pPr>
      <w:keepNext/>
      <w:keepLines/>
    </w:pPr>
    <w:rPr>
      <w:rFonts w:ascii="Arial" w:hAnsi="Arial"/>
      <w:sz w:val="18"/>
      <w:lang w:val="zh-CN"/>
    </w:rPr>
  </w:style>
  <w:style w:type="paragraph" w:customStyle="1" w:styleId="64">
    <w:name w:val="TF"/>
    <w:basedOn w:val="65"/>
    <w:link w:val="100"/>
    <w:qFormat/>
    <w:uiPriority w:val="0"/>
    <w:pPr>
      <w:keepNext w:val="0"/>
      <w:spacing w:before="0" w:after="240"/>
    </w:pPr>
    <w:rPr>
      <w:lang w:val="en-GB"/>
    </w:rPr>
  </w:style>
  <w:style w:type="paragraph" w:customStyle="1" w:styleId="65">
    <w:name w:val="TH"/>
    <w:basedOn w:val="1"/>
    <w:link w:val="131"/>
    <w:qFormat/>
    <w:uiPriority w:val="0"/>
    <w:pPr>
      <w:keepNext/>
      <w:keepLines/>
      <w:spacing w:before="60"/>
      <w:jc w:val="center"/>
    </w:pPr>
    <w:rPr>
      <w:rFonts w:ascii="Arial" w:hAnsi="Arial"/>
      <w:b/>
      <w:lang w:val="zh-CN"/>
    </w:rPr>
  </w:style>
  <w:style w:type="paragraph" w:customStyle="1" w:styleId="66">
    <w:name w:val="NO"/>
    <w:basedOn w:val="1"/>
    <w:link w:val="119"/>
    <w:qFormat/>
    <w:uiPriority w:val="0"/>
    <w:pPr>
      <w:keepLines/>
      <w:ind w:left="1135" w:hanging="851"/>
    </w:pPr>
    <w:rPr>
      <w:lang w:val="zh-CN"/>
    </w:rPr>
  </w:style>
  <w:style w:type="paragraph" w:customStyle="1" w:styleId="67">
    <w:name w:val="EX"/>
    <w:basedOn w:val="1"/>
    <w:qFormat/>
    <w:uiPriority w:val="0"/>
    <w:pPr>
      <w:keepLines/>
      <w:ind w:left="1702" w:hanging="1418"/>
    </w:pPr>
  </w:style>
  <w:style w:type="paragraph" w:customStyle="1" w:styleId="68">
    <w:name w:val="FP"/>
    <w:basedOn w:val="1"/>
    <w:qFormat/>
    <w:uiPriority w:val="0"/>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0">
    <w:name w:val="NW"/>
    <w:basedOn w:val="66"/>
    <w:qFormat/>
    <w:uiPriority w:val="0"/>
  </w:style>
  <w:style w:type="paragraph" w:customStyle="1" w:styleId="71">
    <w:name w:val="EW"/>
    <w:basedOn w:val="67"/>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link w:val="145"/>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Editor's Note"/>
    <w:basedOn w:val="66"/>
    <w:qFormat/>
    <w:uiPriority w:val="0"/>
    <w:rPr>
      <w:color w:val="FF0000"/>
    </w:rPr>
  </w:style>
  <w:style w:type="paragraph" w:customStyle="1" w:styleId="85">
    <w:name w:val="B1"/>
    <w:basedOn w:val="15"/>
    <w:link w:val="115"/>
    <w:qFormat/>
    <w:uiPriority w:val="0"/>
    <w:rPr>
      <w:lang w:val="zh-CN"/>
    </w:rPr>
  </w:style>
  <w:style w:type="paragraph" w:customStyle="1" w:styleId="86">
    <w:name w:val="B2"/>
    <w:basedOn w:val="14"/>
    <w:link w:val="117"/>
    <w:qFormat/>
    <w:uiPriority w:val="0"/>
    <w:rPr>
      <w:lang w:val="zh-CN"/>
    </w:rPr>
  </w:style>
  <w:style w:type="paragraph" w:customStyle="1" w:styleId="87">
    <w:name w:val="B3"/>
    <w:basedOn w:val="13"/>
    <w:link w:val="118"/>
    <w:qFormat/>
    <w:uiPriority w:val="0"/>
    <w:rPr>
      <w:lang w:val="zh-CN"/>
    </w:rPr>
  </w:style>
  <w:style w:type="paragraph" w:customStyle="1" w:styleId="88">
    <w:name w:val="B4"/>
    <w:basedOn w:val="41"/>
    <w:link w:val="124"/>
    <w:qFormat/>
    <w:uiPriority w:val="0"/>
    <w:rPr>
      <w:lang w:val="zh-CN"/>
    </w:rPr>
  </w:style>
  <w:style w:type="paragraph" w:customStyle="1" w:styleId="89">
    <w:name w:val="B5"/>
    <w:basedOn w:val="40"/>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37"/>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sz w:val="22"/>
    </w:rPr>
  </w:style>
  <w:style w:type="paragraph" w:customStyle="1" w:styleId="93">
    <w:name w:val="11 BodyText"/>
    <w:basedOn w:val="1"/>
    <w:qFormat/>
    <w:uiPriority w:val="0"/>
    <w:pPr>
      <w:spacing w:after="220"/>
      <w:ind w:left="1298"/>
    </w:pPr>
    <w:rPr>
      <w:rFonts w:ascii="Arial" w:hAnsi="Arial"/>
      <w:sz w:val="22"/>
    </w:rPr>
  </w:style>
  <w:style w:type="paragraph" w:customStyle="1" w:styleId="94">
    <w:name w:val="B6"/>
    <w:basedOn w:val="89"/>
    <w:link w:val="125"/>
    <w:qFormat/>
    <w:uiPriority w:val="0"/>
    <w:rPr>
      <w:lang w:val="zh-CN"/>
    </w:rPr>
  </w:style>
  <w:style w:type="character" w:customStyle="1" w:styleId="95">
    <w:name w:val="题注 Char"/>
    <w:link w:val="29"/>
    <w:qFormat/>
    <w:uiPriority w:val="0"/>
    <w:rPr>
      <w:rFonts w:ascii="Times New Roman" w:hAnsi="Times New Roman"/>
      <w:b/>
    </w:rPr>
  </w:style>
  <w:style w:type="paragraph" w:customStyle="1" w:styleId="96">
    <w:name w:val="Doc-text2"/>
    <w:basedOn w:val="1"/>
    <w:link w:val="97"/>
    <w:qFormat/>
    <w:uiPriority w:val="0"/>
    <w:pPr>
      <w:tabs>
        <w:tab w:val="left" w:pos="1622"/>
      </w:tabs>
      <w:ind w:left="1622" w:hanging="363"/>
    </w:pPr>
    <w:rPr>
      <w:rFonts w:ascii="Arial" w:hAnsi="Arial" w:eastAsia="MS Mincho"/>
      <w:szCs w:val="24"/>
      <w:lang w:val="zh-CN" w:eastAsia="en-GB"/>
    </w:rPr>
  </w:style>
  <w:style w:type="character" w:customStyle="1" w:styleId="97">
    <w:name w:val="Doc-text2 Char"/>
    <w:link w:val="96"/>
    <w:qFormat/>
    <w:uiPriority w:val="0"/>
    <w:rPr>
      <w:rFonts w:ascii="Arial" w:hAnsi="Arial" w:eastAsia="MS Mincho"/>
      <w:szCs w:val="24"/>
      <w:lang w:eastAsia="en-GB"/>
    </w:rPr>
  </w:style>
  <w:style w:type="character" w:customStyle="1" w:styleId="98">
    <w:name w:val="PL Char"/>
    <w:link w:val="74"/>
    <w:qFormat/>
    <w:uiPriority w:val="0"/>
    <w:rPr>
      <w:rFonts w:ascii="Courier New" w:hAnsi="Courier New"/>
      <w:sz w:val="16"/>
      <w:lang w:val="en-US" w:eastAsia="en-US" w:bidi="ar-SA"/>
    </w:rPr>
  </w:style>
  <w:style w:type="character" w:customStyle="1" w:styleId="99">
    <w:name w:val="标题 4 Char"/>
    <w:link w:val="6"/>
    <w:qFormat/>
    <w:uiPriority w:val="0"/>
    <w:rPr>
      <w:rFonts w:ascii="Arial" w:hAnsi="Arial" w:eastAsia="Arial"/>
      <w:sz w:val="24"/>
      <w:lang w:val="en-GB" w:eastAsia="en-US"/>
    </w:rPr>
  </w:style>
  <w:style w:type="character" w:customStyle="1" w:styleId="100">
    <w:name w:val="TF Char"/>
    <w:link w:val="64"/>
    <w:qFormat/>
    <w:uiPriority w:val="0"/>
    <w:rPr>
      <w:rFonts w:ascii="Arial" w:hAnsi="Arial"/>
      <w:b/>
      <w:lang w:val="en-GB" w:eastAsia="en-US"/>
    </w:rPr>
  </w:style>
  <w:style w:type="paragraph" w:customStyle="1" w:styleId="101">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2">
    <w:name w:val="Guidance"/>
    <w:basedOn w:val="1"/>
    <w:qFormat/>
    <w:uiPriority w:val="0"/>
    <w:rPr>
      <w:i/>
      <w:color w:val="0000FF"/>
    </w:rPr>
  </w:style>
  <w:style w:type="paragraph" w:customStyle="1" w:styleId="103">
    <w:name w:val="Header 1"/>
    <w:basedOn w:val="2"/>
    <w:link w:val="106"/>
    <w:qFormat/>
    <w:uiPriority w:val="0"/>
    <w:rPr>
      <w:lang w:eastAsia="zh-CN"/>
    </w:rPr>
  </w:style>
  <w:style w:type="paragraph" w:customStyle="1" w:styleId="104">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5">
    <w:name w:val="标题 1 Char"/>
    <w:link w:val="2"/>
    <w:qFormat/>
    <w:uiPriority w:val="0"/>
    <w:rPr>
      <w:rFonts w:ascii="Arial" w:hAnsi="Arial" w:eastAsia="Arial"/>
      <w:sz w:val="36"/>
      <w:lang w:val="en-GB" w:eastAsia="en-US"/>
    </w:rPr>
  </w:style>
  <w:style w:type="character" w:customStyle="1" w:styleId="106">
    <w:name w:val="Header 1 Char"/>
    <w:link w:val="103"/>
    <w:qFormat/>
    <w:uiPriority w:val="0"/>
    <w:rPr>
      <w:rFonts w:ascii="Arial" w:hAnsi="Arial" w:eastAsia="Arial"/>
      <w:sz w:val="36"/>
      <w:lang w:val="en-GB" w:eastAsia="zh-CN"/>
    </w:rPr>
  </w:style>
  <w:style w:type="character" w:customStyle="1" w:styleId="107">
    <w:name w:val="正文文本 Char"/>
    <w:link w:val="32"/>
    <w:qFormat/>
    <w:uiPriority w:val="0"/>
    <w:rPr>
      <w:rFonts w:ascii="Times New Roman" w:hAnsi="Times New Roman"/>
      <w:lang w:val="en-GB" w:eastAsia="en-US"/>
    </w:rPr>
  </w:style>
  <w:style w:type="paragraph" w:styleId="108">
    <w:name w:val="List Paragraph"/>
    <w:basedOn w:val="1"/>
    <w:link w:val="138"/>
    <w:qFormat/>
    <w:uiPriority w:val="34"/>
    <w:pPr>
      <w:spacing w:after="200" w:line="276" w:lineRule="auto"/>
      <w:ind w:left="720"/>
      <w:contextualSpacing/>
    </w:pPr>
    <w:rPr>
      <w:rFonts w:ascii="Calibri" w:hAnsi="Calibri" w:eastAsia="Calibri"/>
      <w:sz w:val="22"/>
    </w:rPr>
  </w:style>
  <w:style w:type="paragraph" w:customStyle="1" w:styleId="109">
    <w:name w:val="Comments"/>
    <w:basedOn w:val="1"/>
    <w:link w:val="110"/>
    <w:qFormat/>
    <w:uiPriority w:val="0"/>
    <w:rPr>
      <w:rFonts w:ascii="Arial" w:hAnsi="Arial" w:eastAsia="MS Mincho"/>
      <w:i/>
      <w:sz w:val="16"/>
      <w:szCs w:val="24"/>
      <w:lang w:val="en-GB" w:eastAsia="en-GB"/>
    </w:rPr>
  </w:style>
  <w:style w:type="character" w:customStyle="1" w:styleId="110">
    <w:name w:val="Comments Char"/>
    <w:link w:val="109"/>
    <w:qFormat/>
    <w:uiPriority w:val="0"/>
    <w:rPr>
      <w:rFonts w:ascii="Arial" w:hAnsi="Arial" w:eastAsia="MS Mincho"/>
      <w:i/>
      <w:sz w:val="16"/>
      <w:szCs w:val="24"/>
      <w:lang w:val="en-GB" w:eastAsia="en-GB"/>
    </w:rPr>
  </w:style>
  <w:style w:type="character" w:customStyle="1" w:styleId="111">
    <w:name w:val="TAL Car"/>
    <w:link w:val="63"/>
    <w:qFormat/>
    <w:uiPriority w:val="0"/>
    <w:rPr>
      <w:rFonts w:ascii="Arial" w:hAnsi="Arial"/>
      <w:sz w:val="18"/>
      <w:lang w:eastAsia="en-US"/>
    </w:rPr>
  </w:style>
  <w:style w:type="paragraph" w:customStyle="1" w:styleId="112">
    <w:name w:val="EmailDiscussion"/>
    <w:basedOn w:val="1"/>
    <w:next w:val="96"/>
    <w:qFormat/>
    <w:uiPriority w:val="0"/>
    <w:pPr>
      <w:numPr>
        <w:ilvl w:val="0"/>
        <w:numId w:val="4"/>
      </w:numPr>
      <w:spacing w:before="40"/>
    </w:pPr>
    <w:rPr>
      <w:rFonts w:ascii="Arial" w:hAnsi="Arial" w:eastAsia="MS Mincho"/>
      <w:b/>
      <w:szCs w:val="24"/>
      <w:lang w:val="en-GB" w:eastAsia="en-GB"/>
    </w:rPr>
  </w:style>
  <w:style w:type="character" w:customStyle="1" w:styleId="113">
    <w:name w:val="页眉 Char"/>
    <w:link w:val="3"/>
    <w:qFormat/>
    <w:uiPriority w:val="0"/>
    <w:rPr>
      <w:rFonts w:ascii="Arial" w:hAnsi="Arial"/>
      <w:b/>
      <w:sz w:val="18"/>
      <w:lang w:val="en-US" w:eastAsia="en-US" w:bidi="ar-SA"/>
    </w:rPr>
  </w:style>
  <w:style w:type="paragraph" w:customStyle="1" w:styleId="114">
    <w:name w:val="修订1"/>
    <w:hidden/>
    <w:semiHidden/>
    <w:qFormat/>
    <w:uiPriority w:val="99"/>
    <w:rPr>
      <w:rFonts w:ascii="Times New Roman" w:hAnsi="Times New Roman" w:eastAsia="宋体" w:cs="Times New Roman"/>
      <w:lang w:val="en-US" w:eastAsia="en-US" w:bidi="ar-SA"/>
    </w:rPr>
  </w:style>
  <w:style w:type="character" w:customStyle="1" w:styleId="115">
    <w:name w:val="B1 Char1"/>
    <w:link w:val="85"/>
    <w:qFormat/>
    <w:uiPriority w:val="0"/>
    <w:rPr>
      <w:rFonts w:ascii="Times New Roman" w:hAnsi="Times New Roman"/>
      <w:lang w:eastAsia="en-US"/>
    </w:rPr>
  </w:style>
  <w:style w:type="character" w:customStyle="1" w:styleId="116">
    <w:name w:val="B1 Char"/>
    <w:qFormat/>
    <w:uiPriority w:val="0"/>
    <w:rPr>
      <w:lang w:val="en-GB" w:eastAsia="ja-JP" w:bidi="ar-SA"/>
    </w:rPr>
  </w:style>
  <w:style w:type="character" w:customStyle="1" w:styleId="117">
    <w:name w:val="B2 Char"/>
    <w:link w:val="86"/>
    <w:qFormat/>
    <w:uiPriority w:val="0"/>
    <w:rPr>
      <w:rFonts w:ascii="Times New Roman" w:hAnsi="Times New Roman"/>
      <w:lang w:eastAsia="en-US"/>
    </w:rPr>
  </w:style>
  <w:style w:type="character" w:customStyle="1" w:styleId="118">
    <w:name w:val="B3 Char"/>
    <w:link w:val="87"/>
    <w:qFormat/>
    <w:uiPriority w:val="0"/>
    <w:rPr>
      <w:rFonts w:ascii="Times New Roman" w:hAnsi="Times New Roman"/>
      <w:lang w:eastAsia="en-US"/>
    </w:rPr>
  </w:style>
  <w:style w:type="character" w:customStyle="1" w:styleId="119">
    <w:name w:val="NO Char"/>
    <w:link w:val="66"/>
    <w:qFormat/>
    <w:uiPriority w:val="0"/>
    <w:rPr>
      <w:rFonts w:ascii="Times New Roman" w:hAnsi="Times New Roman"/>
      <w:lang w:eastAsia="en-US"/>
    </w:rPr>
  </w:style>
  <w:style w:type="paragraph" w:customStyle="1" w:styleId="120">
    <w:name w:val="Doc-title"/>
    <w:basedOn w:val="1"/>
    <w:next w:val="96"/>
    <w:link w:val="121"/>
    <w:qFormat/>
    <w:uiPriority w:val="0"/>
    <w:pPr>
      <w:spacing w:before="60"/>
      <w:ind w:left="1259" w:hanging="1259"/>
    </w:pPr>
    <w:rPr>
      <w:rFonts w:ascii="Arial" w:hAnsi="Arial" w:eastAsia="MS Mincho"/>
      <w:szCs w:val="24"/>
      <w:lang w:val="en-GB" w:eastAsia="en-GB"/>
    </w:rPr>
  </w:style>
  <w:style w:type="character" w:customStyle="1" w:styleId="121">
    <w:name w:val="Doc-title Char"/>
    <w:link w:val="120"/>
    <w:qFormat/>
    <w:uiPriority w:val="0"/>
    <w:rPr>
      <w:rFonts w:ascii="Arial" w:hAnsi="Arial" w:eastAsia="MS Mincho"/>
      <w:szCs w:val="24"/>
      <w:lang w:val="en-GB" w:eastAsia="en-GB"/>
    </w:rPr>
  </w:style>
  <w:style w:type="paragraph" w:customStyle="1" w:styleId="122">
    <w:name w:val="MiniHeading"/>
    <w:basedOn w:val="109"/>
    <w:qFormat/>
    <w:uiPriority w:val="0"/>
    <w:pPr>
      <w:spacing w:before="180"/>
    </w:pPr>
    <w:rPr>
      <w:sz w:val="18"/>
      <w:u w:val="single"/>
      <w:lang w:val="en-US"/>
    </w:rPr>
  </w:style>
  <w:style w:type="character" w:customStyle="1" w:styleId="123">
    <w:name w:val="B3 Char2"/>
    <w:qFormat/>
    <w:locked/>
    <w:uiPriority w:val="0"/>
    <w:rPr>
      <w:lang w:val="en-GB" w:eastAsia="ja-JP"/>
    </w:rPr>
  </w:style>
  <w:style w:type="character" w:customStyle="1" w:styleId="124">
    <w:name w:val="B4 Char"/>
    <w:link w:val="88"/>
    <w:qFormat/>
    <w:locked/>
    <w:uiPriority w:val="0"/>
    <w:rPr>
      <w:rFonts w:ascii="Times New Roman" w:hAnsi="Times New Roman"/>
      <w:lang w:eastAsia="en-US"/>
    </w:rPr>
  </w:style>
  <w:style w:type="character" w:customStyle="1" w:styleId="125">
    <w:name w:val="B6 Char"/>
    <w:link w:val="94"/>
    <w:qFormat/>
    <w:locked/>
    <w:uiPriority w:val="0"/>
    <w:rPr>
      <w:rFonts w:ascii="Times New Roman" w:hAnsi="Times New Roman"/>
      <w:lang w:eastAsia="en-US"/>
    </w:rPr>
  </w:style>
  <w:style w:type="character" w:customStyle="1" w:styleId="126">
    <w:name w:val="B7 Char"/>
    <w:link w:val="127"/>
    <w:qFormat/>
    <w:locked/>
    <w:uiPriority w:val="0"/>
  </w:style>
  <w:style w:type="paragraph" w:customStyle="1" w:styleId="127">
    <w:name w:val="B7"/>
    <w:basedOn w:val="94"/>
    <w:link w:val="126"/>
    <w:qFormat/>
    <w:uiPriority w:val="0"/>
    <w:pPr>
      <w:ind w:left="2269"/>
    </w:pPr>
    <w:rPr>
      <w:rFonts w:ascii="CG Times (WN)" w:hAnsi="CG Times (WN)"/>
    </w:rPr>
  </w:style>
  <w:style w:type="paragraph" w:customStyle="1" w:styleId="128">
    <w:name w:val="B8"/>
    <w:basedOn w:val="127"/>
    <w:qFormat/>
    <w:uiPriority w:val="0"/>
    <w:pPr>
      <w:ind w:left="2552"/>
    </w:pPr>
    <w:rPr>
      <w:lang w:eastAsia="en-US"/>
    </w:rPr>
  </w:style>
  <w:style w:type="paragraph" w:customStyle="1" w:styleId="129">
    <w:name w:val="list2"/>
    <w:basedOn w:val="108"/>
    <w:qFormat/>
    <w:uiPriority w:val="0"/>
    <w:pPr>
      <w:numPr>
        <w:ilvl w:val="1"/>
        <w:numId w:val="5"/>
      </w:numPr>
      <w:spacing w:after="0"/>
      <w:ind w:left="720" w:hanging="181"/>
    </w:pPr>
    <w:rPr>
      <w:lang w:val="en-GB"/>
    </w:rPr>
  </w:style>
  <w:style w:type="paragraph" w:customStyle="1" w:styleId="130">
    <w:name w:val="References"/>
    <w:basedOn w:val="1"/>
    <w:qFormat/>
    <w:uiPriority w:val="0"/>
    <w:pPr>
      <w:numPr>
        <w:ilvl w:val="0"/>
        <w:numId w:val="6"/>
      </w:numPr>
    </w:pPr>
    <w:rPr>
      <w:sz w:val="16"/>
      <w:szCs w:val="16"/>
      <w:lang w:val="en-GB"/>
    </w:rPr>
  </w:style>
  <w:style w:type="character" w:customStyle="1" w:styleId="131">
    <w:name w:val="TH Char"/>
    <w:link w:val="65"/>
    <w:qFormat/>
    <w:uiPriority w:val="0"/>
    <w:rPr>
      <w:rFonts w:ascii="Arial" w:hAnsi="Arial"/>
      <w:b/>
      <w:lang w:eastAsia="en-US"/>
    </w:rPr>
  </w:style>
  <w:style w:type="paragraph" w:customStyle="1" w:styleId="132">
    <w:name w:val="Reference"/>
    <w:basedOn w:val="1"/>
    <w:qFormat/>
    <w:uiPriority w:val="0"/>
    <w:pPr>
      <w:numPr>
        <w:ilvl w:val="0"/>
        <w:numId w:val="7"/>
      </w:numPr>
      <w:spacing w:after="120"/>
    </w:pPr>
    <w:rPr>
      <w:sz w:val="22"/>
      <w:lang w:val="en-GB"/>
    </w:rPr>
  </w:style>
  <w:style w:type="character" w:customStyle="1" w:styleId="133">
    <w:name w:val="HTML 预设格式 Char"/>
    <w:link w:val="44"/>
    <w:qFormat/>
    <w:uiPriority w:val="99"/>
    <w:rPr>
      <w:rFonts w:ascii="宋体" w:hAnsi="宋体" w:cs="宋体"/>
      <w:sz w:val="24"/>
      <w:szCs w:val="24"/>
    </w:rPr>
  </w:style>
  <w:style w:type="paragraph" w:customStyle="1" w:styleId="134">
    <w:name w:val="Bold Comments"/>
    <w:basedOn w:val="1"/>
    <w:link w:val="135"/>
    <w:qFormat/>
    <w:uiPriority w:val="0"/>
    <w:pPr>
      <w:spacing w:before="240" w:after="60"/>
      <w:outlineLvl w:val="8"/>
    </w:pPr>
    <w:rPr>
      <w:rFonts w:ascii="Arial" w:hAnsi="Arial" w:eastAsia="MS Mincho"/>
      <w:b/>
      <w:szCs w:val="24"/>
      <w:lang w:val="en-GB" w:eastAsia="en-GB"/>
    </w:rPr>
  </w:style>
  <w:style w:type="character" w:customStyle="1" w:styleId="135">
    <w:name w:val="Bold Comments Char"/>
    <w:link w:val="134"/>
    <w:qFormat/>
    <w:uiPriority w:val="0"/>
    <w:rPr>
      <w:rFonts w:ascii="Arial" w:hAnsi="Arial" w:eastAsia="MS Mincho"/>
      <w:b/>
      <w:szCs w:val="24"/>
      <w:lang w:val="en-GB" w:eastAsia="en-GB"/>
    </w:rPr>
  </w:style>
  <w:style w:type="character" w:customStyle="1" w:styleId="136">
    <w:name w:val="B1 Zchn"/>
    <w:qFormat/>
    <w:locked/>
    <w:uiPriority w:val="0"/>
    <w:rPr>
      <w:rFonts w:ascii="MS Mincho" w:hAnsi="MS Mincho" w:eastAsia="MS Mincho"/>
      <w:lang w:val="en-GB" w:eastAsia="en-US"/>
    </w:rPr>
  </w:style>
  <w:style w:type="character" w:customStyle="1" w:styleId="137">
    <w:name w:val="CR Cover Page Zchn"/>
    <w:link w:val="91"/>
    <w:qFormat/>
    <w:locked/>
    <w:uiPriority w:val="0"/>
    <w:rPr>
      <w:rFonts w:ascii="Arial" w:hAnsi="Arial" w:eastAsia="MS Mincho"/>
      <w:lang w:val="en-GB" w:eastAsia="en-US"/>
    </w:rPr>
  </w:style>
  <w:style w:type="character" w:customStyle="1" w:styleId="138">
    <w:name w:val="列出段落 Char"/>
    <w:link w:val="108"/>
    <w:qFormat/>
    <w:locked/>
    <w:uiPriority w:val="34"/>
    <w:rPr>
      <w:rFonts w:ascii="Calibri" w:hAnsi="Calibri" w:eastAsia="Calibri"/>
      <w:sz w:val="22"/>
      <w:szCs w:val="22"/>
      <w:lang w:eastAsia="en-US"/>
    </w:rPr>
  </w:style>
  <w:style w:type="paragraph" w:customStyle="1" w:styleId="139">
    <w:name w:val="Numbered List"/>
    <w:basedOn w:val="1"/>
    <w:qFormat/>
    <w:uiPriority w:val="0"/>
    <w:pPr>
      <w:numPr>
        <w:ilvl w:val="0"/>
        <w:numId w:val="8"/>
      </w:numPr>
    </w:pPr>
    <w:rPr>
      <w:rFonts w:eastAsia="MS Mincho"/>
      <w:lang w:val="en-GB"/>
    </w:rPr>
  </w:style>
  <w:style w:type="paragraph" w:customStyle="1" w:styleId="14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1">
    <w:name w:val="标题 2 Char"/>
    <w:link w:val="4"/>
    <w:qFormat/>
    <w:uiPriority w:val="0"/>
    <w:rPr>
      <w:rFonts w:ascii="Arial" w:hAnsi="Arial" w:eastAsia="Arial"/>
      <w:sz w:val="32"/>
      <w:lang w:val="en-GB" w:eastAsia="en-US"/>
    </w:rPr>
  </w:style>
  <w:style w:type="character" w:customStyle="1" w:styleId="142">
    <w:name w:val="H6 Char"/>
    <w:link w:val="9"/>
    <w:qFormat/>
    <w:locked/>
    <w:uiPriority w:val="0"/>
    <w:rPr>
      <w:rFonts w:ascii="Arial" w:hAnsi="Arial" w:eastAsia="Arial"/>
      <w:lang w:val="en-GB" w:eastAsia="en-US"/>
    </w:rPr>
  </w:style>
  <w:style w:type="character" w:customStyle="1" w:styleId="143">
    <w:name w:val="TAL Char"/>
    <w:qFormat/>
    <w:locked/>
    <w:uiPriority w:val="0"/>
    <w:rPr>
      <w:rFonts w:ascii="Arial" w:hAnsi="Arial" w:cs="Arial"/>
      <w:sz w:val="18"/>
      <w:lang w:val="en-GB" w:eastAsia="ja-JP"/>
    </w:rPr>
  </w:style>
  <w:style w:type="character" w:customStyle="1" w:styleId="144">
    <w:name w:val="TAC Car"/>
    <w:link w:val="62"/>
    <w:qFormat/>
    <w:locked/>
    <w:uiPriority w:val="0"/>
    <w:rPr>
      <w:rFonts w:ascii="Arial" w:hAnsi="Arial"/>
      <w:sz w:val="18"/>
      <w:lang w:val="zh-CN" w:eastAsia="en-US"/>
    </w:rPr>
  </w:style>
  <w:style w:type="character" w:customStyle="1" w:styleId="145">
    <w:name w:val="TAN Char"/>
    <w:link w:val="76"/>
    <w:qFormat/>
    <w:locked/>
    <w:uiPriority w:val="0"/>
    <w:rPr>
      <w:rFonts w:ascii="Arial" w:hAnsi="Arial"/>
      <w:sz w:val="18"/>
      <w:lang w:val="zh-CN" w:eastAsia="en-US"/>
    </w:rPr>
  </w:style>
  <w:style w:type="character" w:customStyle="1" w:styleId="146">
    <w:name w:val="TAH Car"/>
    <w:link w:val="61"/>
    <w:qFormat/>
    <w:locked/>
    <w:uiPriority w:val="0"/>
    <w:rPr>
      <w:rFonts w:ascii="Arial" w:hAnsi="Arial"/>
      <w:b/>
      <w:sz w:val="18"/>
      <w:lang w:val="zh-CN" w:eastAsia="en-US"/>
    </w:rPr>
  </w:style>
  <w:style w:type="character" w:customStyle="1" w:styleId="147">
    <w:name w:val="apple-converted-space"/>
    <w:qFormat/>
    <w:uiPriority w:val="0"/>
  </w:style>
  <w:style w:type="paragraph" w:customStyle="1" w:styleId="148">
    <w:name w:val="Comments-red"/>
    <w:basedOn w:val="109"/>
    <w:qFormat/>
    <w:uiPriority w:val="0"/>
    <w:pPr>
      <w:spacing w:before="40"/>
    </w:pPr>
    <w:rPr>
      <w:color w:val="FF0000"/>
      <w:sz w:val="18"/>
    </w:rPr>
  </w:style>
  <w:style w:type="character" w:customStyle="1" w:styleId="149">
    <w:name w:val="B2 Car"/>
    <w:qFormat/>
    <w:uiPriority w:val="0"/>
  </w:style>
  <w:style w:type="character" w:customStyle="1" w:styleId="150">
    <w:name w:val="副标题 Char"/>
    <w:link w:val="37"/>
    <w:qFormat/>
    <w:uiPriority w:val="0"/>
    <w:rPr>
      <w:rFonts w:ascii="Calibri Light" w:hAnsi="Calibri Light"/>
      <w:sz w:val="24"/>
      <w:szCs w:val="24"/>
      <w:lang w:eastAsia="en-US"/>
    </w:rPr>
  </w:style>
  <w:style w:type="paragraph" w:customStyle="1" w:styleId="151">
    <w:name w:val="N4"/>
    <w:basedOn w:val="1"/>
    <w:link w:val="152"/>
    <w:qFormat/>
    <w:uiPriority w:val="0"/>
    <w:pPr>
      <w:ind w:left="1354"/>
    </w:pPr>
    <w:rPr>
      <w:rFonts w:ascii="Calibri" w:hAnsi="Calibri" w:cs="Calibri"/>
      <w:sz w:val="22"/>
      <w:shd w:val="clear" w:color="auto" w:fill="FFFFFF"/>
      <w:lang w:eastAsia="ko-KR" w:bidi="hi-IN"/>
    </w:rPr>
  </w:style>
  <w:style w:type="character" w:customStyle="1" w:styleId="152">
    <w:name w:val="N4 Char"/>
    <w:link w:val="151"/>
    <w:qFormat/>
    <w:uiPriority w:val="0"/>
    <w:rPr>
      <w:rFonts w:ascii="Calibri" w:hAnsi="Calibri" w:cs="Calibri"/>
      <w:sz w:val="22"/>
      <w:szCs w:val="22"/>
      <w:lang w:eastAsia="ko-KR" w:bidi="hi-IN"/>
    </w:rPr>
  </w:style>
  <w:style w:type="paragraph" w:customStyle="1" w:styleId="153">
    <w:name w:val="IvD bodytext"/>
    <w:basedOn w:val="32"/>
    <w:link w:val="15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154">
    <w:name w:val="IvD bodytext Char"/>
    <w:link w:val="153"/>
    <w:qFormat/>
    <w:uiPriority w:val="0"/>
    <w:rPr>
      <w:rFonts w:ascii="Arial" w:hAnsi="Arial"/>
      <w:spacing w:val="2"/>
      <w:kern w:val="2"/>
      <w:sz w:val="21"/>
      <w:szCs w:val="22"/>
      <w:lang w:val="en-GB" w:eastAsia="en-US"/>
    </w:rPr>
  </w:style>
  <w:style w:type="character" w:customStyle="1" w:styleId="155">
    <w:name w:val="fontstyle01"/>
    <w:basedOn w:val="52"/>
    <w:qFormat/>
    <w:uiPriority w:val="0"/>
    <w:rPr>
      <w:rFonts w:hint="default" w:ascii="TimesNewRomanPSMT" w:hAnsi="TimesNewRomanPSMT"/>
      <w:color w:val="000000"/>
      <w:sz w:val="20"/>
      <w:szCs w:val="20"/>
    </w:rPr>
  </w:style>
  <w:style w:type="character" w:customStyle="1" w:styleId="156">
    <w:name w:val="fontstyle21"/>
    <w:basedOn w:val="52"/>
    <w:qFormat/>
    <w:uiPriority w:val="0"/>
    <w:rPr>
      <w:rFonts w:hint="default" w:ascii="TimesNewRomanPS-ItalicMT" w:hAnsi="TimesNewRomanPS-ItalicMT"/>
      <w:i/>
      <w:iCs/>
      <w:color w:val="000000"/>
      <w:sz w:val="20"/>
      <w:szCs w:val="20"/>
    </w:rPr>
  </w:style>
  <w:style w:type="character" w:customStyle="1" w:styleId="157">
    <w:name w:val="fontstyle31"/>
    <w:basedOn w:val="52"/>
    <w:qFormat/>
    <w:uiPriority w:val="0"/>
    <w:rPr>
      <w:rFonts w:hint="eastAsia" w:ascii="Yu Mincho" w:hAnsi="Yu Mincho" w:eastAsia="Yu Mincho"/>
      <w:color w:val="000000"/>
      <w:sz w:val="20"/>
      <w:szCs w:val="20"/>
    </w:rPr>
  </w:style>
  <w:style w:type="character" w:customStyle="1" w:styleId="158">
    <w:name w:val="fontstyle41"/>
    <w:basedOn w:val="52"/>
    <w:qFormat/>
    <w:uiPriority w:val="0"/>
    <w:rPr>
      <w:rFonts w:hint="default" w:ascii="Arial-BoldMT" w:hAnsi="Arial-BoldMT"/>
      <w:b/>
      <w:bCs/>
      <w:color w:val="000000"/>
      <w:sz w:val="18"/>
      <w:szCs w:val="18"/>
    </w:rPr>
  </w:style>
  <w:style w:type="character" w:customStyle="1" w:styleId="159">
    <w:name w:val="TF Zchn"/>
    <w:qFormat/>
    <w:uiPriority w:val="0"/>
    <w:rPr>
      <w:rFonts w:ascii="Arial" w:hAnsi="Arial" w:eastAsia="Times New Roman"/>
      <w:b/>
    </w:rPr>
  </w:style>
  <w:style w:type="character" w:customStyle="1" w:styleId="160">
    <w:name w:val="NO Zchn"/>
    <w:qFormat/>
    <w:locked/>
    <w:uiPriority w:val="0"/>
    <w:rPr>
      <w:rFonts w:ascii="Times New Roman" w:hAnsi="Times New Roman"/>
      <w:lang w:val="en-GB" w:eastAsia="en-US"/>
    </w:rPr>
  </w:style>
  <w:style w:type="character" w:customStyle="1" w:styleId="161">
    <w:name w:val="标题 Char"/>
    <w:basedOn w:val="52"/>
    <w:link w:val="48"/>
    <w:qFormat/>
    <w:uiPriority w:val="10"/>
    <w:rPr>
      <w:rFonts w:ascii="Arial" w:hAnsi="Arial" w:cs="Arial" w:eastAsiaTheme="minorEastAsia"/>
      <w:b/>
      <w:bCs/>
      <w:kern w:val="28"/>
      <w:lang w:val="en-GB" w:eastAsia="en-US"/>
    </w:rPr>
  </w:style>
  <w:style w:type="paragraph" w:customStyle="1" w:styleId="162">
    <w:name w:val="done"/>
    <w:basedOn w:val="1"/>
    <w:qFormat/>
    <w:uiPriority w:val="0"/>
    <w:pPr>
      <w:keepNext/>
      <w:keepLines/>
      <w:numPr>
        <w:ilvl w:val="0"/>
        <w:numId w:val="9"/>
      </w:numPr>
      <w:pBdr>
        <w:top w:val="single" w:color="008000" w:sz="6" w:space="1"/>
        <w:left w:val="single" w:color="008000" w:sz="6" w:space="4"/>
        <w:bottom w:val="single" w:color="008000" w:sz="6" w:space="1"/>
        <w:right w:val="single" w:color="008000" w:sz="6" w:space="4"/>
      </w:pBdr>
      <w:tabs>
        <w:tab w:val="left" w:pos="1843"/>
      </w:tabs>
      <w:spacing w:before="60" w:after="60"/>
      <w:ind w:left="340" w:hanging="340"/>
    </w:pPr>
    <w:rPr>
      <w:rFonts w:ascii="Arial" w:hAnsi="Arial"/>
      <w:b/>
      <w:color w:val="008000"/>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2.bin"/><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E7319C-4716-4088-8018-CFDB4EE978DD}">
  <ds:schemaRefs/>
</ds:datastoreItem>
</file>

<file path=customXml/itemProps3.xml><?xml version="1.0" encoding="utf-8"?>
<ds:datastoreItem xmlns:ds="http://schemas.openxmlformats.org/officeDocument/2006/customXml" ds:itemID="{26DD643B-76FD-45E5-A379-C0594773499F}">
  <ds:schemaRefs/>
</ds:datastoreItem>
</file>

<file path=customXml/itemProps4.xml><?xml version="1.0" encoding="utf-8"?>
<ds:datastoreItem xmlns:ds="http://schemas.openxmlformats.org/officeDocument/2006/customXml" ds:itemID="{5384227E-0FC8-4D4F-AF72-0C4C99285ED0}">
  <ds:schemaRefs/>
</ds:datastoreItem>
</file>

<file path=customXml/itemProps5.xml><?xml version="1.0" encoding="utf-8"?>
<ds:datastoreItem xmlns:ds="http://schemas.openxmlformats.org/officeDocument/2006/customXml" ds:itemID="{D2314079-949C-4665-8437-3BC15DE45E1E}">
  <ds:schemaRefs/>
</ds:datastoreItem>
</file>

<file path=customXml/itemProps6.xml><?xml version="1.0" encoding="utf-8"?>
<ds:datastoreItem xmlns:ds="http://schemas.openxmlformats.org/officeDocument/2006/customXml" ds:itemID="{838D367B-A5DF-4CD6-A534-0EE2C971CB46}">
  <ds:schemaRefs/>
</ds:datastoreItem>
</file>

<file path=docProps/app.xml><?xml version="1.0" encoding="utf-8"?>
<Properties xmlns="http://schemas.openxmlformats.org/officeDocument/2006/extended-properties" xmlns:vt="http://schemas.openxmlformats.org/officeDocument/2006/docPropsVTypes">
  <Template>Normal</Template>
  <Company>Nokia &amp; NSN</Company>
  <Pages>5</Pages>
  <Words>1743</Words>
  <Characters>9937</Characters>
  <Lines>82</Lines>
  <Paragraphs>23</Paragraphs>
  <TotalTime>0</TotalTime>
  <ScaleCrop>false</ScaleCrop>
  <LinksUpToDate>false</LinksUpToDate>
  <CharactersWithSpaces>11657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2022-09-28T08:15:00Z</dcterms:created>
  <dc:creator>chenjiajun</dc:creator>
  <cp:keywords>CTPClassification=CTP_PUBLIC:VisualMarkings=, CTPClassification=CTP_NT</cp:keywords>
  <cp:lastModifiedBy>ZTE</cp:lastModifiedBy>
  <cp:lastPrinted>2004-04-16T16:17:00Z</cp:lastPrinted>
  <dcterms:modified xsi:type="dcterms:W3CDTF">2023-05-12T05:12:59Z</dcterms:modified>
  <dc:title>3GPP Contribution</dc:title>
  <cp:revision>534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2052-11.8.2.10393</vt:lpwstr>
  </property>
</Properties>
</file>